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i w:val="0"/>
          <w:strike w:val="0"/>
          <w:color w:val="auto"/>
          <w:sz w:val="44"/>
          <w:szCs w:val="44"/>
          <w:u w:val="none"/>
        </w:rPr>
      </w:pPr>
      <w:r>
        <w:rPr>
          <w:rFonts w:hint="eastAsia" w:ascii="方正小标宋简体" w:hAnsi="方正小标宋简体" w:eastAsia="方正小标宋简体" w:cs="方正小标宋简体"/>
          <w:b w:val="0"/>
          <w:bCs w:val="0"/>
          <w:i w:val="0"/>
          <w:strike w:val="0"/>
          <w:color w:val="auto"/>
          <w:sz w:val="44"/>
          <w:szCs w:val="44"/>
          <w:u w:val="none"/>
        </w:rPr>
        <w:t>林芝市共享电单车管理办法</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i w:val="0"/>
          <w:strike w:val="0"/>
          <w:color w:val="auto"/>
          <w:sz w:val="44"/>
          <w:szCs w:val="44"/>
          <w:u w:val="none"/>
        </w:rPr>
      </w:pPr>
      <w:r>
        <w:rPr>
          <w:rFonts w:hint="eastAsia" w:ascii="方正小标宋简体" w:hAnsi="方正小标宋简体" w:eastAsia="方正小标宋简体" w:cs="方正小标宋简体"/>
          <w:b w:val="0"/>
          <w:bCs w:val="0"/>
          <w:i w:val="0"/>
          <w:strike w:val="0"/>
          <w:color w:val="auto"/>
          <w:sz w:val="44"/>
          <w:szCs w:val="44"/>
          <w:u w:val="none"/>
        </w:rPr>
        <w:t>（</w:t>
      </w:r>
      <w:r>
        <w:rPr>
          <w:rFonts w:hint="eastAsia" w:ascii="方正小标宋简体" w:hAnsi="方正小标宋简体" w:eastAsia="方正小标宋简体" w:cs="方正小标宋简体"/>
          <w:b w:val="0"/>
          <w:bCs w:val="0"/>
          <w:i w:val="0"/>
          <w:strike w:val="0"/>
          <w:color w:val="auto"/>
          <w:sz w:val="44"/>
          <w:szCs w:val="44"/>
          <w:u w:val="none"/>
          <w:lang w:eastAsia="zh-CN"/>
        </w:rPr>
        <w:t>征求意见稿</w:t>
      </w:r>
      <w:r>
        <w:rPr>
          <w:rFonts w:hint="eastAsia" w:ascii="方正小标宋简体" w:hAnsi="方正小标宋简体" w:eastAsia="方正小标宋简体" w:cs="方正小标宋简体"/>
          <w:b w:val="0"/>
          <w:bCs w:val="0"/>
          <w:i w:val="0"/>
          <w:strike w:val="0"/>
          <w:color w:val="auto"/>
          <w:sz w:val="44"/>
          <w:szCs w:val="44"/>
          <w:u w:val="none"/>
        </w:rPr>
        <w:t>）</w:t>
      </w:r>
    </w:p>
    <w:p>
      <w:pPr>
        <w:keepNext w:val="0"/>
        <w:keepLines w:val="0"/>
        <w:pageBreakBefore w:val="0"/>
        <w:widowControl w:val="0"/>
        <w:kinsoku/>
        <w:wordWrap/>
        <w:overflowPunct/>
        <w:topLinePunct w:val="0"/>
        <w:autoSpaceDE/>
        <w:autoSpaceDN/>
        <w:bidi w:val="0"/>
        <w:adjustRightInd/>
        <w:snapToGrid/>
        <w:spacing w:before="313" w:beforeLines="100" w:line="576" w:lineRule="exact"/>
        <w:ind w:firstLine="643" w:firstLineChars="200"/>
        <w:jc w:val="both"/>
        <w:textAlignment w:val="auto"/>
        <w:rPr>
          <w:rFonts w:hint="default" w:ascii="方正仿宋_GB2312" w:hAnsi="方正仿宋_GB2312" w:eastAsia="方正仿宋_GB2312" w:cs="方正仿宋_GB2312"/>
          <w:b w:val="0"/>
          <w:bCs w:val="0"/>
          <w:i w:val="0"/>
          <w:strike w:val="0"/>
          <w:color w:val="auto"/>
          <w:sz w:val="32"/>
          <w:szCs w:val="32"/>
          <w:u w:val="none"/>
          <w:lang w:val="en-US" w:eastAsia="zh-CN"/>
        </w:rPr>
      </w:pPr>
      <w:r>
        <w:rPr>
          <w:rStyle w:val="9"/>
          <w:rFonts w:hint="eastAsia" w:ascii="方正仿宋_GB2312" w:hAnsi="方正仿宋_GB2312" w:eastAsia="方正仿宋_GB2312" w:cs="方正仿宋_GB2312"/>
          <w:sz w:val="32"/>
          <w:szCs w:val="32"/>
        </w:rPr>
        <w:t>第一条​</w:t>
      </w:r>
      <w:r>
        <w:rPr>
          <w:rFonts w:hint="eastAsia" w:ascii="方正仿宋_GB2312" w:hAnsi="方正仿宋_GB2312" w:eastAsia="方正仿宋_GB2312" w:cs="方正仿宋_GB2312"/>
          <w:b w:val="0"/>
          <w:i w:val="0"/>
          <w:strike w:val="0"/>
          <w:color w:val="auto"/>
          <w:sz w:val="32"/>
          <w:szCs w:val="32"/>
          <w:u w:val="none"/>
        </w:rPr>
        <w:t>为规范共享电单车运营管理，保障公众出行安全便捷，维护城市交通秩序和市容环境，促进绿色出行可持续发展，根据《中华人民共和国道路交通安全法》等</w:t>
      </w:r>
      <w:r>
        <w:rPr>
          <w:rFonts w:hint="eastAsia" w:ascii="方正仿宋_GB2312" w:hAnsi="方正仿宋_GB2312" w:eastAsia="方正仿宋_GB2312" w:cs="方正仿宋_GB2312"/>
          <w:b w:val="0"/>
          <w:i w:val="0"/>
          <w:strike w:val="0"/>
          <w:color w:val="auto"/>
          <w:sz w:val="32"/>
          <w:szCs w:val="32"/>
          <w:u w:val="none"/>
          <w:lang w:val="en-US" w:eastAsia="zh-CN"/>
        </w:rPr>
        <w:t>相关</w:t>
      </w:r>
      <w:r>
        <w:rPr>
          <w:rFonts w:hint="eastAsia" w:ascii="方正仿宋_GB2312" w:hAnsi="方正仿宋_GB2312" w:eastAsia="方正仿宋_GB2312" w:cs="方正仿宋_GB2312"/>
          <w:b w:val="0"/>
          <w:i w:val="0"/>
          <w:strike w:val="0"/>
          <w:color w:val="auto"/>
          <w:sz w:val="32"/>
          <w:szCs w:val="32"/>
          <w:u w:val="none"/>
        </w:rPr>
        <w:t>法律</w:t>
      </w:r>
      <w:r>
        <w:rPr>
          <w:rFonts w:hint="eastAsia" w:ascii="方正仿宋_GB2312" w:hAnsi="方正仿宋_GB2312" w:eastAsia="方正仿宋_GB2312" w:cs="方正仿宋_GB2312"/>
          <w:b w:val="0"/>
          <w:i w:val="0"/>
          <w:strike w:val="0"/>
          <w:color w:val="auto"/>
          <w:sz w:val="32"/>
          <w:szCs w:val="32"/>
          <w:u w:val="none"/>
          <w:lang w:eastAsia="zh-CN"/>
        </w:rPr>
        <w:t>、</w:t>
      </w:r>
      <w:r>
        <w:rPr>
          <w:rFonts w:hint="eastAsia" w:ascii="方正仿宋_GB2312" w:hAnsi="方正仿宋_GB2312" w:eastAsia="方正仿宋_GB2312" w:cs="方正仿宋_GB2312"/>
          <w:b w:val="0"/>
          <w:i w:val="0"/>
          <w:strike w:val="0"/>
          <w:color w:val="auto"/>
          <w:sz w:val="32"/>
          <w:szCs w:val="32"/>
          <w:u w:val="none"/>
        </w:rPr>
        <w:t>法规，结合林芝市实际，制定本办法。</w:t>
      </w:r>
      <w:r>
        <w:rPr>
          <w:rFonts w:hint="eastAsia" w:ascii="方正仿宋_GB2312" w:hAnsi="方正仿宋_GB2312" w:eastAsia="方正仿宋_GB2312" w:cs="方正仿宋_GB2312"/>
          <w:b w:val="0"/>
          <w:bCs w:val="0"/>
          <w:i w:val="0"/>
          <w:strike w:val="0"/>
          <w:color w:val="auto"/>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方正仿宋_GB2312" w:hAnsi="方正仿宋_GB2312" w:eastAsia="方正仿宋_GB2312" w:cs="方正仿宋_GB2312"/>
          <w:b w:val="0"/>
          <w:i w:val="0"/>
          <w:strike w:val="0"/>
          <w:color w:val="auto"/>
          <w:sz w:val="32"/>
          <w:szCs w:val="32"/>
          <w:u w:val="none"/>
        </w:rPr>
      </w:pPr>
      <w:r>
        <w:rPr>
          <w:rStyle w:val="9"/>
          <w:rFonts w:hint="eastAsia" w:ascii="方正仿宋_GB2312" w:hAnsi="方正仿宋_GB2312" w:eastAsia="方正仿宋_GB2312" w:cs="方正仿宋_GB2312"/>
          <w:sz w:val="32"/>
          <w:szCs w:val="32"/>
        </w:rPr>
        <w:t>第</w:t>
      </w:r>
      <w:r>
        <w:rPr>
          <w:rStyle w:val="9"/>
          <w:rFonts w:hint="eastAsia" w:ascii="方正仿宋_GB2312" w:hAnsi="方正仿宋_GB2312" w:eastAsia="方正仿宋_GB2312" w:cs="方正仿宋_GB2312"/>
          <w:sz w:val="32"/>
          <w:szCs w:val="32"/>
          <w:lang w:val="en-US"/>
        </w:rPr>
        <w:t>二</w:t>
      </w:r>
      <w:r>
        <w:rPr>
          <w:rStyle w:val="9"/>
          <w:rFonts w:hint="eastAsia" w:ascii="方正仿宋_GB2312" w:hAnsi="方正仿宋_GB2312" w:eastAsia="方正仿宋_GB2312" w:cs="方正仿宋_GB2312"/>
          <w:sz w:val="32"/>
          <w:szCs w:val="32"/>
        </w:rPr>
        <w:t>条</w:t>
      </w:r>
      <w:r>
        <w:rPr>
          <w:rFonts w:hint="eastAsia" w:ascii="方正仿宋_GB2312" w:hAnsi="方正仿宋_GB2312" w:eastAsia="方正仿宋_GB2312" w:cs="方正仿宋_GB2312"/>
          <w:b w:val="0"/>
          <w:i w:val="0"/>
          <w:strike w:val="0"/>
          <w:color w:val="auto"/>
          <w:sz w:val="32"/>
          <w:szCs w:val="32"/>
          <w:u w:val="none"/>
        </w:rPr>
        <w:t>​本办法适用于林芝市行政区域内共享电单车的投放、运营、停放及相关监督管理活动。</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方正仿宋_GB2312" w:hAnsi="方正仿宋_GB2312" w:eastAsia="方正仿宋_GB2312" w:cs="方正仿宋_GB2312"/>
          <w:b w:val="0"/>
          <w:i w:val="0"/>
          <w:strike w:val="0"/>
          <w:color w:val="auto"/>
          <w:sz w:val="32"/>
          <w:szCs w:val="32"/>
          <w:u w:val="none"/>
          <w:lang w:eastAsia="zh-CN"/>
        </w:rPr>
      </w:pPr>
      <w:r>
        <w:rPr>
          <w:rFonts w:hint="eastAsia" w:ascii="方正仿宋_GB2312" w:hAnsi="方正仿宋_GB2312" w:eastAsia="方正仿宋_GB2312" w:cs="方正仿宋_GB2312"/>
          <w:b/>
          <w:bCs/>
          <w:i w:val="0"/>
          <w:strike w:val="0"/>
          <w:color w:val="auto"/>
          <w:sz w:val="32"/>
          <w:szCs w:val="32"/>
          <w:u w:val="none"/>
          <w:lang w:val="en-US" w:eastAsia="zh-CN"/>
        </w:rPr>
        <w:t>第三条</w:t>
      </w:r>
      <w:r>
        <w:rPr>
          <w:rFonts w:hint="eastAsia" w:ascii="方正仿宋_GB2312" w:hAnsi="方正仿宋_GB2312" w:eastAsia="方正仿宋_GB2312" w:cs="方正仿宋_GB2312"/>
          <w:b w:val="0"/>
          <w:bCs w:val="0"/>
          <w:i w:val="0"/>
          <w:strike w:val="0"/>
          <w:color w:val="auto"/>
          <w:sz w:val="32"/>
          <w:szCs w:val="32"/>
          <w:u w:val="none"/>
          <w:lang w:val="en-US" w:eastAsia="zh-CN"/>
        </w:rPr>
        <w:t xml:space="preserve">  本办法所称共享电单车（互联网租赁电动自行车）是指以互联网技术为依托构建平台，由运营企业投放、符合国家标准，为公众提供日常短距离出行的分时租赁以电力驱动的两轮非机动车。</w:t>
      </w:r>
      <w:r>
        <w:rPr>
          <w:rFonts w:hint="eastAsia" w:ascii="方正仿宋_GB2312" w:hAnsi="方正仿宋_GB2312" w:eastAsia="方正仿宋_GB2312" w:cs="方正仿宋_GB2312"/>
          <w:b w:val="0"/>
          <w:bCs w:val="0"/>
          <w:i w:val="0"/>
          <w:strike w:val="0"/>
          <w:color w:val="auto"/>
          <w:sz w:val="32"/>
          <w:szCs w:val="32"/>
          <w:u w:val="none"/>
          <w:lang w:val="en-US" w:eastAsia="zh-CN"/>
        </w:rPr>
        <w:t xml:space="preserve">  </w:t>
      </w:r>
      <w:bookmarkStart w:id="38" w:name="_GoBack"/>
      <w:bookmarkEnd w:id="38"/>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方正仿宋_GB2312" w:hAnsi="方正仿宋_GB2312" w:eastAsia="方正仿宋_GB2312" w:cs="方正仿宋_GB2312"/>
          <w:b w:val="0"/>
          <w:i w:val="0"/>
          <w:strike w:val="0"/>
          <w:color w:val="auto"/>
          <w:sz w:val="32"/>
          <w:szCs w:val="32"/>
          <w:u w:val="none"/>
          <w:lang w:eastAsia="zh-CN"/>
        </w:rPr>
      </w:pPr>
      <w:r>
        <w:rPr>
          <w:rStyle w:val="9"/>
          <w:rFonts w:hint="eastAsia" w:ascii="方正仿宋_GB2312" w:hAnsi="方正仿宋_GB2312" w:eastAsia="方正仿宋_GB2312" w:cs="方正仿宋_GB2312"/>
          <w:sz w:val="32"/>
          <w:szCs w:val="32"/>
        </w:rPr>
        <w:t>第</w:t>
      </w:r>
      <w:r>
        <w:rPr>
          <w:rStyle w:val="9"/>
          <w:rFonts w:hint="eastAsia" w:ascii="方正仿宋_GB2312" w:hAnsi="方正仿宋_GB2312" w:eastAsia="方正仿宋_GB2312" w:cs="方正仿宋_GB2312"/>
          <w:sz w:val="32"/>
          <w:szCs w:val="32"/>
          <w:lang w:val="en-US"/>
        </w:rPr>
        <w:t>四</w:t>
      </w:r>
      <w:r>
        <w:rPr>
          <w:rStyle w:val="9"/>
          <w:rFonts w:hint="eastAsia" w:ascii="方正仿宋_GB2312" w:hAnsi="方正仿宋_GB2312" w:eastAsia="方正仿宋_GB2312" w:cs="方正仿宋_GB2312"/>
          <w:sz w:val="32"/>
          <w:szCs w:val="32"/>
        </w:rPr>
        <w:t>条​</w:t>
      </w:r>
      <w:r>
        <w:rPr>
          <w:rStyle w:val="9"/>
          <w:rFonts w:hint="eastAsia" w:ascii="方正仿宋_GB2312" w:hAnsi="方正仿宋_GB2312" w:eastAsia="方正仿宋_GB2312" w:cs="方正仿宋_GB2312"/>
          <w:b w:val="0"/>
          <w:bCs w:val="0"/>
          <w:sz w:val="32"/>
          <w:szCs w:val="32"/>
          <w:lang w:val="en-US"/>
        </w:rPr>
        <w:t>林芝</w:t>
      </w:r>
      <w:r>
        <w:rPr>
          <w:rFonts w:hint="eastAsia" w:ascii="方正仿宋_GB2312" w:hAnsi="方正仿宋_GB2312" w:eastAsia="方正仿宋_GB2312" w:cs="方正仿宋_GB2312"/>
          <w:b w:val="0"/>
          <w:i w:val="0"/>
          <w:strike w:val="0"/>
          <w:color w:val="auto"/>
          <w:sz w:val="32"/>
          <w:szCs w:val="32"/>
          <w:u w:val="none"/>
        </w:rPr>
        <w:t>市人民政府统筹协调共享电单车管理工作，建立联席会议制度，由城市管理部门牵头，</w:t>
      </w:r>
      <w:r>
        <w:rPr>
          <w:rFonts w:hint="eastAsia" w:ascii="方正仿宋_GB2312" w:hAnsi="方正仿宋_GB2312" w:eastAsia="方正仿宋_GB2312" w:cs="方正仿宋_GB2312"/>
          <w:b w:val="0"/>
          <w:i w:val="0"/>
          <w:strike w:val="0"/>
          <w:color w:val="auto"/>
          <w:sz w:val="32"/>
          <w:szCs w:val="32"/>
          <w:u w:val="none"/>
          <w:lang w:val="en-US" w:eastAsia="zh-CN"/>
        </w:rPr>
        <w:t>会同相关部门对共享电单车的经营、服务、使用进行监督管理。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lang w:eastAsia="zh-CN"/>
        </w:rPr>
      </w:pP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负责科学确定共享电单车的投放总量、投放区域和停放区域，对共享电单车进行</w:t>
      </w:r>
      <w:r>
        <w:rPr>
          <w:rFonts w:hint="eastAsia" w:ascii="方正仿宋_GB2312" w:hAnsi="方正仿宋_GB2312" w:eastAsia="方正仿宋_GB2312" w:cs="方正仿宋_GB2312"/>
          <w:b w:val="0"/>
          <w:i w:val="0"/>
          <w:strike w:val="0"/>
          <w:color w:val="auto"/>
          <w:sz w:val="32"/>
          <w:szCs w:val="32"/>
          <w:u w:val="none"/>
        </w:rPr>
        <w:t>总量调控、</w:t>
      </w:r>
      <w:r>
        <w:rPr>
          <w:rFonts w:hint="eastAsia" w:ascii="方正仿宋_GB2312" w:hAnsi="方正仿宋_GB2312" w:eastAsia="方正仿宋_GB2312" w:cs="方正仿宋_GB2312"/>
          <w:b w:val="0"/>
          <w:i w:val="0"/>
          <w:strike w:val="0"/>
          <w:color w:val="auto"/>
          <w:sz w:val="32"/>
          <w:szCs w:val="32"/>
          <w:u w:val="none"/>
          <w:lang w:val="en-US" w:eastAsia="zh-CN"/>
        </w:rPr>
        <w:t>负责</w:t>
      </w:r>
      <w:r>
        <w:rPr>
          <w:rFonts w:hint="eastAsia" w:ascii="方正仿宋_GB2312" w:hAnsi="方正仿宋_GB2312" w:eastAsia="方正仿宋_GB2312" w:cs="方正仿宋_GB2312"/>
          <w:b w:val="0"/>
          <w:i w:val="0"/>
          <w:strike w:val="0"/>
          <w:color w:val="auto"/>
          <w:sz w:val="32"/>
          <w:szCs w:val="32"/>
          <w:u w:val="none"/>
          <w:lang w:eastAsia="zh-CN"/>
        </w:rPr>
        <w:t>运营企业的监督管理，</w:t>
      </w:r>
      <w:r>
        <w:rPr>
          <w:rFonts w:hint="eastAsia" w:ascii="方正仿宋_GB2312" w:hAnsi="方正仿宋_GB2312" w:eastAsia="方正仿宋_GB2312" w:cs="方正仿宋_GB2312"/>
          <w:b w:val="0"/>
          <w:i w:val="0"/>
          <w:strike w:val="0"/>
          <w:color w:val="auto"/>
          <w:sz w:val="32"/>
          <w:szCs w:val="32"/>
          <w:u w:val="none"/>
        </w:rPr>
        <w:t>停放秩序监管日常巡查及联合执法</w:t>
      </w:r>
      <w:r>
        <w:rPr>
          <w:rFonts w:hint="eastAsia" w:ascii="方正仿宋_GB2312" w:hAnsi="方正仿宋_GB2312" w:eastAsia="方正仿宋_GB2312" w:cs="方正仿宋_GB2312"/>
          <w:b w:val="0"/>
          <w:i w:val="0"/>
          <w:strike w:val="0"/>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r>
        <w:rPr>
          <w:rFonts w:hint="eastAsia" w:ascii="方正仿宋_GB2312" w:hAnsi="方正仿宋_GB2312" w:eastAsia="方正仿宋_GB2312" w:cs="方正仿宋_GB2312"/>
          <w:b w:val="0"/>
          <w:i w:val="0"/>
          <w:strike w:val="0"/>
          <w:color w:val="auto"/>
          <w:sz w:val="32"/>
          <w:szCs w:val="32"/>
          <w:u w:val="none"/>
        </w:rPr>
        <w:t>交通运输部门负责</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eastAsia" w:ascii="方正仿宋_GB2312" w:hAnsi="方正仿宋_GB2312" w:eastAsia="方正仿宋_GB2312" w:cs="方正仿宋_GB2312"/>
          <w:b w:val="0"/>
          <w:i w:val="0"/>
          <w:strike w:val="0"/>
          <w:color w:val="auto"/>
          <w:sz w:val="32"/>
          <w:szCs w:val="32"/>
          <w:u w:val="none"/>
        </w:rPr>
        <w:t>与城市公共交通融合发展的政策制定和统筹协调；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r>
        <w:rPr>
          <w:rFonts w:hint="eastAsia" w:ascii="方正仿宋_GB2312" w:hAnsi="方正仿宋_GB2312" w:eastAsia="方正仿宋_GB2312" w:cs="方正仿宋_GB2312"/>
          <w:b w:val="0"/>
          <w:i w:val="0"/>
          <w:strike w:val="0"/>
          <w:color w:val="auto"/>
          <w:sz w:val="32"/>
          <w:szCs w:val="32"/>
          <w:u w:val="none"/>
          <w:lang w:val="en-US" w:eastAsia="zh-CN"/>
        </w:rPr>
        <w:t>公安机关负责查处盗窃、损毁共享电单车等违法行为，查处共享电单车交通违法行为，维护交通秩序</w:t>
      </w:r>
      <w:r>
        <w:rPr>
          <w:rFonts w:hint="eastAsia" w:ascii="方正仿宋_GB2312" w:hAnsi="方正仿宋_GB2312" w:eastAsia="方正仿宋_GB2312" w:cs="方正仿宋_GB2312"/>
          <w:b w:val="0"/>
          <w:i w:val="0"/>
          <w:strike w:val="0"/>
          <w:color w:val="auto"/>
          <w:sz w:val="32"/>
          <w:szCs w:val="32"/>
          <w:u w:val="none"/>
        </w:rPr>
        <w:t>；公安机关交通管理部门和</w:t>
      </w:r>
      <w:r>
        <w:rPr>
          <w:rFonts w:hint="eastAsia" w:ascii="方正仿宋_GB2312" w:hAnsi="方正仿宋_GB2312" w:eastAsia="方正仿宋_GB2312" w:cs="方正仿宋_GB2312"/>
          <w:b w:val="0"/>
          <w:i w:val="0"/>
          <w:strike w:val="0"/>
          <w:color w:val="auto"/>
          <w:sz w:val="32"/>
          <w:szCs w:val="32"/>
          <w:u w:val="none"/>
          <w:lang w:val="en-US" w:eastAsia="zh-CN"/>
        </w:rPr>
        <w:t>城市管理部门</w:t>
      </w:r>
      <w:r>
        <w:rPr>
          <w:rFonts w:hint="eastAsia" w:ascii="方正仿宋_GB2312" w:hAnsi="方正仿宋_GB2312" w:eastAsia="方正仿宋_GB2312" w:cs="方正仿宋_GB2312"/>
          <w:b w:val="0"/>
          <w:i w:val="0"/>
          <w:strike w:val="0"/>
          <w:color w:val="auto"/>
          <w:sz w:val="32"/>
          <w:szCs w:val="32"/>
          <w:u w:val="none"/>
        </w:rPr>
        <w:t>共同指导</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eastAsia" w:ascii="方正仿宋_GB2312" w:hAnsi="方正仿宋_GB2312" w:eastAsia="方正仿宋_GB2312" w:cs="方正仿宋_GB2312"/>
          <w:b w:val="0"/>
          <w:i w:val="0"/>
          <w:strike w:val="0"/>
          <w:color w:val="auto"/>
          <w:sz w:val="32"/>
          <w:szCs w:val="32"/>
          <w:u w:val="none"/>
        </w:rPr>
        <w:t>停放管理；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lang w:eastAsia="zh-CN"/>
        </w:rPr>
      </w:pPr>
      <w:r>
        <w:rPr>
          <w:rFonts w:hint="eastAsia" w:ascii="方正仿宋_GB2312" w:hAnsi="方正仿宋_GB2312" w:eastAsia="方正仿宋_GB2312" w:cs="方正仿宋_GB2312"/>
          <w:b w:val="0"/>
          <w:i w:val="0"/>
          <w:strike w:val="0"/>
          <w:color w:val="auto"/>
          <w:sz w:val="32"/>
          <w:szCs w:val="32"/>
          <w:u w:val="none"/>
          <w:lang w:val="en-US" w:eastAsia="zh-CN"/>
        </w:rPr>
        <w:t>市场监管部门、网信、发展改革、自然资源、住房城乡建设、应急管理等部门</w:t>
      </w:r>
      <w:r>
        <w:rPr>
          <w:rFonts w:hint="eastAsia" w:ascii="方正仿宋_GB2312" w:hAnsi="方正仿宋_GB2312" w:eastAsia="方正仿宋_GB2312" w:cs="方正仿宋_GB2312"/>
          <w:b w:val="0"/>
          <w:i w:val="0"/>
          <w:strike w:val="0"/>
          <w:color w:val="auto"/>
          <w:sz w:val="32"/>
          <w:szCs w:val="32"/>
          <w:u w:val="none"/>
        </w:rPr>
        <w:t>按照各自职责，对</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eastAsia" w:ascii="方正仿宋_GB2312" w:hAnsi="方正仿宋_GB2312" w:eastAsia="方正仿宋_GB2312" w:cs="方正仿宋_GB2312"/>
          <w:b w:val="0"/>
          <w:i w:val="0"/>
          <w:strike w:val="0"/>
          <w:color w:val="auto"/>
          <w:sz w:val="32"/>
          <w:szCs w:val="32"/>
          <w:u w:val="none"/>
        </w:rPr>
        <w:t>经营行为实施相关监督检查，并对违法行为依法处理。</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Style w:val="9"/>
          <w:rFonts w:hint="eastAsia" w:ascii="方正仿宋_GB2312" w:hAnsi="方正仿宋_GB2312" w:eastAsia="方正仿宋_GB2312" w:cs="方正仿宋_GB2312"/>
          <w:b w:val="0"/>
          <w:bCs w:val="0"/>
          <w:sz w:val="32"/>
          <w:szCs w:val="32"/>
          <w:lang w:val="en-US"/>
        </w:rPr>
      </w:pPr>
      <w:r>
        <w:rPr>
          <w:rStyle w:val="9"/>
          <w:rFonts w:hint="eastAsia" w:ascii="方正仿宋_GB2312" w:hAnsi="方正仿宋_GB2312" w:eastAsia="方正仿宋_GB2312" w:cs="方正仿宋_GB2312"/>
          <w:sz w:val="32"/>
          <w:szCs w:val="32"/>
        </w:rPr>
        <w:t>第</w:t>
      </w:r>
      <w:r>
        <w:rPr>
          <w:rStyle w:val="9"/>
          <w:rFonts w:hint="eastAsia" w:ascii="方正仿宋_GB2312" w:hAnsi="方正仿宋_GB2312" w:eastAsia="方正仿宋_GB2312" w:cs="方正仿宋_GB2312"/>
          <w:sz w:val="32"/>
          <w:szCs w:val="32"/>
          <w:lang w:val="en-US"/>
        </w:rPr>
        <w:t>五</w:t>
      </w:r>
      <w:r>
        <w:rPr>
          <w:rStyle w:val="9"/>
          <w:rFonts w:hint="eastAsia" w:ascii="方正仿宋_GB2312" w:hAnsi="方正仿宋_GB2312" w:eastAsia="方正仿宋_GB2312" w:cs="方正仿宋_GB2312"/>
          <w:sz w:val="32"/>
          <w:szCs w:val="32"/>
        </w:rPr>
        <w:t>条​</w:t>
      </w:r>
      <w:r>
        <w:rPr>
          <w:rStyle w:val="9"/>
          <w:rFonts w:hint="eastAsia" w:ascii="方正仿宋_GB2312" w:hAnsi="方正仿宋_GB2312" w:eastAsia="方正仿宋_GB2312" w:cs="方正仿宋_GB2312"/>
          <w:b w:val="0"/>
          <w:bCs w:val="0"/>
          <w:sz w:val="32"/>
          <w:szCs w:val="32"/>
          <w:lang w:val="en-US" w:eastAsia="zh-CN"/>
        </w:rPr>
        <w:t>运营企业应当遵守下列规定：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Style w:val="9"/>
          <w:rFonts w:hint="eastAsia" w:ascii="方正仿宋_GB2312" w:hAnsi="方正仿宋_GB2312" w:eastAsia="方正仿宋_GB2312" w:cs="方正仿宋_GB2312"/>
          <w:b w:val="0"/>
          <w:bCs w:val="0"/>
          <w:sz w:val="32"/>
          <w:szCs w:val="32"/>
          <w:lang w:val="en-US"/>
        </w:rPr>
      </w:pPr>
      <w:bookmarkStart w:id="0" w:name="tiao_9_kuan_1_xiang_1"/>
      <w:bookmarkEnd w:id="0"/>
      <w:bookmarkStart w:id="1" w:name="tiao_9_kuan_1_xiang_2"/>
      <w:bookmarkEnd w:id="1"/>
      <w:r>
        <w:rPr>
          <w:rStyle w:val="9"/>
          <w:rFonts w:hint="eastAsia" w:ascii="方正仿宋_GB2312" w:hAnsi="方正仿宋_GB2312" w:eastAsia="方正仿宋_GB2312" w:cs="方正仿宋_GB2312"/>
          <w:b w:val="0"/>
          <w:bCs w:val="0"/>
          <w:sz w:val="32"/>
          <w:szCs w:val="32"/>
          <w:lang w:val="en-US" w:eastAsia="zh-CN"/>
        </w:rPr>
        <w:t>（一）具备开展运营服务的共享电单车运营服务平台和与开展业务相适应的信息数据交互及处理能力，实现对车辆实时监控、定位、统计、精确查找等功能，有符合规定的网络安全管理制度和安全保护技术措施；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Style w:val="9"/>
          <w:rFonts w:hint="eastAsia" w:ascii="方正仿宋_GB2312" w:hAnsi="方正仿宋_GB2312" w:eastAsia="方正仿宋_GB2312" w:cs="方正仿宋_GB2312"/>
          <w:b w:val="0"/>
          <w:bCs w:val="0"/>
          <w:sz w:val="32"/>
          <w:szCs w:val="32"/>
          <w:lang w:val="en-US"/>
        </w:rPr>
      </w:pPr>
      <w:bookmarkStart w:id="2" w:name="tiao_9_kuan_1_xiang_3"/>
      <w:bookmarkEnd w:id="2"/>
      <w:r>
        <w:rPr>
          <w:rStyle w:val="9"/>
          <w:rFonts w:hint="eastAsia" w:ascii="方正仿宋_GB2312" w:hAnsi="方正仿宋_GB2312" w:eastAsia="方正仿宋_GB2312" w:cs="方正仿宋_GB2312"/>
          <w:b w:val="0"/>
          <w:bCs w:val="0"/>
          <w:sz w:val="32"/>
          <w:szCs w:val="32"/>
          <w:lang w:val="en-US" w:eastAsia="zh-CN"/>
        </w:rPr>
        <w:t>（二）具备与经营规模相适应的运营能力，配备满足车辆调度、维护、充换电需要的专兼职管理人员及调度车辆；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Style w:val="9"/>
          <w:rFonts w:hint="eastAsia" w:ascii="方正仿宋_GB2312" w:hAnsi="方正仿宋_GB2312" w:eastAsia="方正仿宋_GB2312" w:cs="方正仿宋_GB2312"/>
          <w:b w:val="0"/>
          <w:bCs w:val="0"/>
          <w:sz w:val="32"/>
          <w:szCs w:val="32"/>
          <w:lang w:val="en-US"/>
        </w:rPr>
      </w:pPr>
      <w:bookmarkStart w:id="3" w:name="tiao_9_kuan_1_xiang_4"/>
      <w:bookmarkEnd w:id="3"/>
      <w:r>
        <w:rPr>
          <w:rStyle w:val="9"/>
          <w:rFonts w:hint="eastAsia" w:ascii="方正仿宋_GB2312" w:hAnsi="方正仿宋_GB2312" w:eastAsia="方正仿宋_GB2312" w:cs="方正仿宋_GB2312"/>
          <w:b w:val="0"/>
          <w:bCs w:val="0"/>
          <w:sz w:val="32"/>
          <w:szCs w:val="32"/>
          <w:lang w:val="en-US" w:eastAsia="zh-CN"/>
        </w:rPr>
        <w:t>（三）具备健全的运营管理制度、安全生产管理制度、服务质量保障制度和投诉处理制度，依法履行消费者权益保护、环境保护、知识产权保护、网络安全与个人信息保护等方面的义务；</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Style w:val="9"/>
          <w:rFonts w:hint="eastAsia" w:ascii="方正仿宋_GB2312" w:hAnsi="方正仿宋_GB2312" w:eastAsia="方正仿宋_GB2312" w:cs="方正仿宋_GB2312"/>
          <w:b w:val="0"/>
          <w:bCs w:val="0"/>
          <w:sz w:val="32"/>
          <w:szCs w:val="32"/>
          <w:lang w:val="en-US"/>
        </w:rPr>
      </w:pPr>
      <w:bookmarkStart w:id="4" w:name="tiao_9_kuan_1_xiang_5"/>
      <w:bookmarkEnd w:id="4"/>
      <w:r>
        <w:rPr>
          <w:rStyle w:val="9"/>
          <w:rFonts w:hint="eastAsia" w:ascii="方正仿宋_GB2312" w:hAnsi="方正仿宋_GB2312" w:eastAsia="方正仿宋_GB2312" w:cs="方正仿宋_GB2312"/>
          <w:b w:val="0"/>
          <w:bCs w:val="0"/>
          <w:sz w:val="32"/>
          <w:szCs w:val="32"/>
          <w:lang w:val="en-US" w:eastAsia="zh-CN"/>
        </w:rPr>
        <w:t>（四）法律法规的其他有关规定。</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方正仿宋_GB2312" w:hAnsi="方正仿宋_GB2312" w:eastAsia="方正仿宋_GB2312" w:cs="方正仿宋_GB2312"/>
          <w:b w:val="0"/>
          <w:i w:val="0"/>
          <w:strike w:val="0"/>
          <w:color w:val="auto"/>
          <w:sz w:val="32"/>
          <w:szCs w:val="32"/>
          <w:u w:val="none"/>
        </w:rPr>
      </w:pPr>
      <w:r>
        <w:rPr>
          <w:rStyle w:val="9"/>
          <w:rFonts w:hint="eastAsia" w:ascii="方正仿宋_GB2312" w:hAnsi="方正仿宋_GB2312" w:eastAsia="方正仿宋_GB2312" w:cs="方正仿宋_GB2312"/>
          <w:sz w:val="32"/>
          <w:szCs w:val="32"/>
        </w:rPr>
        <w:t>第</w:t>
      </w:r>
      <w:r>
        <w:rPr>
          <w:rStyle w:val="9"/>
          <w:rFonts w:hint="eastAsia" w:ascii="方正仿宋_GB2312" w:hAnsi="方正仿宋_GB2312" w:eastAsia="方正仿宋_GB2312" w:cs="方正仿宋_GB2312"/>
          <w:sz w:val="32"/>
          <w:szCs w:val="32"/>
          <w:lang w:val="en-US"/>
        </w:rPr>
        <w:t>六</w:t>
      </w:r>
      <w:r>
        <w:rPr>
          <w:rStyle w:val="9"/>
          <w:rFonts w:hint="eastAsia" w:ascii="方正仿宋_GB2312" w:hAnsi="方正仿宋_GB2312" w:eastAsia="方正仿宋_GB2312" w:cs="方正仿宋_GB2312"/>
          <w:sz w:val="32"/>
          <w:szCs w:val="32"/>
        </w:rPr>
        <w:t>条​</w:t>
      </w:r>
      <w:r>
        <w:rPr>
          <w:rStyle w:val="9"/>
          <w:rFonts w:hint="eastAsia" w:ascii="方正仿宋_GB2312" w:hAnsi="方正仿宋_GB2312" w:eastAsia="方正仿宋_GB2312" w:cs="方正仿宋_GB2312"/>
          <w:b w:val="0"/>
          <w:bCs w:val="0"/>
          <w:sz w:val="32"/>
          <w:szCs w:val="32"/>
          <w:lang w:val="en-US" w:eastAsia="zh-CN"/>
        </w:rPr>
        <w:t>本市共享电单车的投放应当与城市空间承载能力、停放设施资源、公共出行需求等相匹配。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r>
        <w:rPr>
          <w:rStyle w:val="9"/>
          <w:rFonts w:hint="eastAsia" w:ascii="方正仿宋_GB2312" w:hAnsi="方正仿宋_GB2312" w:eastAsia="方正仿宋_GB2312" w:cs="方正仿宋_GB2312"/>
          <w:b w:val="0"/>
          <w:bCs w:val="0"/>
          <w:sz w:val="32"/>
          <w:szCs w:val="32"/>
          <w:lang w:val="en-US" w:eastAsia="zh-CN"/>
        </w:rPr>
        <w:t>本市共享电单车的投放</w:t>
      </w:r>
      <w:r>
        <w:rPr>
          <w:rFonts w:hint="eastAsia" w:ascii="方正仿宋_GB2312" w:hAnsi="方正仿宋_GB2312" w:eastAsia="方正仿宋_GB2312" w:cs="方正仿宋_GB2312"/>
          <w:b w:val="0"/>
          <w:i w:val="0"/>
          <w:strike w:val="0"/>
          <w:color w:val="auto"/>
          <w:sz w:val="32"/>
          <w:szCs w:val="32"/>
          <w:u w:val="none"/>
        </w:rPr>
        <w:t>实行“动态</w:t>
      </w:r>
      <w:r>
        <w:rPr>
          <w:rFonts w:hint="eastAsia" w:ascii="方正仿宋_GB2312" w:hAnsi="方正仿宋_GB2312" w:eastAsia="方正仿宋_GB2312" w:cs="方正仿宋_GB2312"/>
          <w:b w:val="0"/>
          <w:i w:val="0"/>
          <w:strike w:val="0"/>
          <w:color w:val="auto"/>
          <w:sz w:val="32"/>
          <w:szCs w:val="32"/>
          <w:u w:val="none"/>
          <w:lang w:val="en-US" w:eastAsia="zh-CN"/>
        </w:rPr>
        <w:t>调整</w:t>
      </w:r>
      <w:r>
        <w:rPr>
          <w:rFonts w:hint="eastAsia" w:ascii="方正仿宋_GB2312" w:hAnsi="方正仿宋_GB2312" w:eastAsia="方正仿宋_GB2312" w:cs="方正仿宋_GB2312"/>
          <w:b w:val="0"/>
          <w:i w:val="0"/>
          <w:strike w:val="0"/>
          <w:color w:val="auto"/>
          <w:sz w:val="32"/>
          <w:szCs w:val="32"/>
          <w:u w:val="none"/>
        </w:rPr>
        <w:t>制”，</w:t>
      </w:r>
      <w:r>
        <w:rPr>
          <w:rFonts w:hint="eastAsia" w:ascii="方正仿宋_GB2312" w:hAnsi="方正仿宋_GB2312" w:eastAsia="方正仿宋_GB2312" w:cs="方正仿宋_GB2312"/>
          <w:b w:val="0"/>
          <w:i w:val="0"/>
          <w:strike w:val="0"/>
          <w:color w:val="auto"/>
          <w:sz w:val="32"/>
          <w:szCs w:val="32"/>
          <w:u w:val="none"/>
          <w:lang w:val="en-US" w:eastAsia="zh-CN"/>
        </w:rPr>
        <w:t>支持</w:t>
      </w:r>
      <w:r>
        <w:rPr>
          <w:rFonts w:hint="eastAsia" w:ascii="方正仿宋_GB2312" w:hAnsi="方正仿宋_GB2312" w:eastAsia="方正仿宋_GB2312" w:cs="方正仿宋_GB2312"/>
          <w:b w:val="0"/>
          <w:i w:val="0"/>
          <w:strike w:val="0"/>
          <w:color w:val="auto"/>
          <w:sz w:val="32"/>
          <w:szCs w:val="32"/>
          <w:u w:val="none"/>
        </w:rPr>
        <w:t>服务质量高的企业</w:t>
      </w:r>
      <w:r>
        <w:rPr>
          <w:rFonts w:hint="eastAsia" w:ascii="方正仿宋_GB2312" w:hAnsi="方正仿宋_GB2312" w:eastAsia="方正仿宋_GB2312" w:cs="方正仿宋_GB2312"/>
          <w:b w:val="0"/>
          <w:i w:val="0"/>
          <w:strike w:val="0"/>
          <w:color w:val="auto"/>
          <w:sz w:val="32"/>
          <w:szCs w:val="32"/>
          <w:u w:val="none"/>
          <w:lang w:val="en-US" w:eastAsia="zh-CN"/>
        </w:rPr>
        <w:t>进行投放</w:t>
      </w:r>
      <w:r>
        <w:rPr>
          <w:rFonts w:hint="eastAsia" w:ascii="方正仿宋_GB2312" w:hAnsi="方正仿宋_GB2312" w:eastAsia="方正仿宋_GB2312" w:cs="方正仿宋_GB2312"/>
          <w:b w:val="0"/>
          <w:i w:val="0"/>
          <w:strike w:val="0"/>
          <w:color w:val="auto"/>
          <w:sz w:val="32"/>
          <w:szCs w:val="32"/>
          <w:u w:val="none"/>
        </w:rPr>
        <w:t>。</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r>
        <w:rPr>
          <w:rFonts w:hint="eastAsia" w:ascii="方正仿宋_GB2312" w:hAnsi="方正仿宋_GB2312" w:eastAsia="方正仿宋_GB2312" w:cs="方正仿宋_GB2312"/>
          <w:b/>
          <w:bCs/>
          <w:i w:val="0"/>
          <w:strike w:val="0"/>
          <w:color w:val="auto"/>
          <w:sz w:val="32"/>
          <w:szCs w:val="32"/>
          <w:u w:val="none"/>
          <w:lang w:val="en-US" w:eastAsia="zh-CN"/>
        </w:rPr>
        <w:t xml:space="preserve">第七条 </w:t>
      </w:r>
      <w:r>
        <w:rPr>
          <w:rFonts w:hint="eastAsia" w:ascii="方正仿宋_GB2312" w:hAnsi="方正仿宋_GB2312" w:eastAsia="方正仿宋_GB2312" w:cs="方正仿宋_GB2312"/>
          <w:b w:val="0"/>
          <w:bCs w:val="0"/>
          <w:i w:val="0"/>
          <w:strike w:val="0"/>
          <w:color w:val="auto"/>
          <w:sz w:val="32"/>
          <w:szCs w:val="32"/>
          <w:u w:val="none"/>
          <w:lang w:val="en-US" w:eastAsia="zh-CN"/>
        </w:rPr>
        <w:t>共享电单车投放应当符合下列要求：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bookmarkStart w:id="5" w:name="tiao_11_kuan_1_xiang_1"/>
      <w:bookmarkEnd w:id="5"/>
      <w:r>
        <w:rPr>
          <w:rFonts w:hint="eastAsia" w:ascii="方正仿宋_GB2312" w:hAnsi="方正仿宋_GB2312" w:eastAsia="方正仿宋_GB2312" w:cs="方正仿宋_GB2312"/>
          <w:b w:val="0"/>
          <w:bCs w:val="0"/>
          <w:i w:val="0"/>
          <w:strike w:val="0"/>
          <w:color w:val="auto"/>
          <w:sz w:val="32"/>
          <w:szCs w:val="32"/>
          <w:u w:val="none"/>
          <w:lang w:val="en-US" w:eastAsia="zh-CN"/>
        </w:rPr>
        <w:t>（一）符合国家、行业相关技术标准，并具有产品合格证明；</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bookmarkStart w:id="6" w:name="tiao_11_kuan_1_xiang_2"/>
      <w:bookmarkEnd w:id="6"/>
      <w:r>
        <w:rPr>
          <w:rFonts w:hint="eastAsia" w:ascii="方正仿宋_GB2312" w:hAnsi="方正仿宋_GB2312" w:eastAsia="方正仿宋_GB2312" w:cs="方正仿宋_GB2312"/>
          <w:b w:val="0"/>
          <w:bCs w:val="0"/>
          <w:i w:val="0"/>
          <w:strike w:val="0"/>
          <w:color w:val="auto"/>
          <w:sz w:val="32"/>
          <w:szCs w:val="32"/>
          <w:u w:val="none"/>
          <w:lang w:val="en-US" w:eastAsia="zh-CN"/>
        </w:rPr>
        <w:t>（二）具有唯一性的车辆识别数字编码；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bookmarkStart w:id="7" w:name="tiao_11_kuan_1_xiang_3"/>
      <w:bookmarkEnd w:id="7"/>
      <w:r>
        <w:rPr>
          <w:rFonts w:hint="eastAsia" w:ascii="方正仿宋_GB2312" w:hAnsi="方正仿宋_GB2312" w:eastAsia="方正仿宋_GB2312" w:cs="方正仿宋_GB2312"/>
          <w:b w:val="0"/>
          <w:bCs w:val="0"/>
          <w:i w:val="0"/>
          <w:strike w:val="0"/>
          <w:color w:val="auto"/>
          <w:sz w:val="32"/>
          <w:szCs w:val="32"/>
          <w:u w:val="none"/>
          <w:lang w:val="en-US" w:eastAsia="zh-CN"/>
        </w:rPr>
        <w:t>（三）具有精确查找和定位功能，配备智能通讯和车辆卫星定位功能的智能锁；</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bookmarkStart w:id="8" w:name="tiao_11_kuan_1_xiang_4"/>
      <w:bookmarkEnd w:id="8"/>
      <w:r>
        <w:rPr>
          <w:rFonts w:hint="eastAsia" w:ascii="方正仿宋_GB2312" w:hAnsi="方正仿宋_GB2312" w:eastAsia="方正仿宋_GB2312" w:cs="方正仿宋_GB2312"/>
          <w:b w:val="0"/>
          <w:bCs w:val="0"/>
          <w:i w:val="0"/>
          <w:strike w:val="0"/>
          <w:color w:val="auto"/>
          <w:sz w:val="32"/>
          <w:szCs w:val="32"/>
          <w:u w:val="none"/>
          <w:lang w:val="en-US" w:eastAsia="zh-CN"/>
        </w:rPr>
        <w:t>（四）在车身明显位置标识安全驾驶事项，具备安全骑行语音提示功能；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bookmarkStart w:id="9" w:name="tiao_11_kuan_1_xiang_5"/>
      <w:bookmarkEnd w:id="9"/>
      <w:r>
        <w:rPr>
          <w:rFonts w:hint="eastAsia" w:ascii="方正仿宋_GB2312" w:hAnsi="方正仿宋_GB2312" w:eastAsia="方正仿宋_GB2312" w:cs="方正仿宋_GB2312"/>
          <w:b w:val="0"/>
          <w:bCs w:val="0"/>
          <w:i w:val="0"/>
          <w:strike w:val="0"/>
          <w:color w:val="auto"/>
          <w:sz w:val="32"/>
          <w:szCs w:val="32"/>
          <w:u w:val="none"/>
          <w:lang w:val="en-US" w:eastAsia="zh-CN"/>
        </w:rPr>
        <w:t>（五）不得安装影响安全骑行的附属设施。</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0" w:name="tiao_11_kuan_2"/>
      <w:bookmarkEnd w:id="10"/>
      <w:r>
        <w:rPr>
          <w:rFonts w:hint="eastAsia" w:ascii="方正仿宋_GB2312" w:hAnsi="方正仿宋_GB2312" w:eastAsia="方正仿宋_GB2312" w:cs="方正仿宋_GB2312"/>
          <w:b/>
          <w:bCs/>
          <w:i w:val="0"/>
          <w:strike w:val="0"/>
          <w:color w:val="auto"/>
          <w:sz w:val="32"/>
          <w:szCs w:val="32"/>
          <w:u w:val="none"/>
          <w:lang w:val="en-US" w:eastAsia="zh-CN"/>
        </w:rPr>
        <w:t>第八条</w:t>
      </w:r>
      <w:r>
        <w:rPr>
          <w:rFonts w:hint="eastAsia" w:ascii="方正仿宋_GB2312" w:hAnsi="方正仿宋_GB2312" w:eastAsia="方正仿宋_GB2312" w:cs="方正仿宋_GB2312"/>
          <w:b w:val="0"/>
          <w:i w:val="0"/>
          <w:strike w:val="0"/>
          <w:color w:val="auto"/>
          <w:sz w:val="32"/>
          <w:szCs w:val="32"/>
          <w:u w:val="none"/>
          <w:lang w:val="en-US" w:eastAsia="zh-CN"/>
        </w:rPr>
        <w:t xml:space="preserve"> </w:t>
      </w:r>
      <w:r>
        <w:rPr>
          <w:rFonts w:hint="default" w:ascii="方正仿宋_GB2312" w:hAnsi="方正仿宋_GB2312" w:eastAsia="方正仿宋_GB2312" w:cs="方正仿宋_GB2312"/>
          <w:b w:val="0"/>
          <w:i w:val="0"/>
          <w:strike w:val="0"/>
          <w:color w:val="auto"/>
          <w:sz w:val="32"/>
          <w:szCs w:val="32"/>
          <w:u w:val="none"/>
          <w:lang w:val="en-US" w:eastAsia="zh-CN"/>
        </w:rPr>
        <w:t>运营</w:t>
      </w:r>
      <w:r>
        <w:rPr>
          <w:rFonts w:hint="eastAsia" w:ascii="方正仿宋_GB2312" w:hAnsi="方正仿宋_GB2312" w:eastAsia="方正仿宋_GB2312" w:cs="方正仿宋_GB2312"/>
          <w:b w:val="0"/>
          <w:i w:val="0"/>
          <w:strike w:val="0"/>
          <w:color w:val="auto"/>
          <w:sz w:val="32"/>
          <w:szCs w:val="32"/>
          <w:u w:val="none"/>
          <w:lang w:val="en-US" w:eastAsia="zh-CN"/>
        </w:rPr>
        <w:t>企业</w:t>
      </w:r>
      <w:r>
        <w:rPr>
          <w:rFonts w:hint="default" w:ascii="方正仿宋_GB2312" w:hAnsi="方正仿宋_GB2312" w:eastAsia="方正仿宋_GB2312" w:cs="方正仿宋_GB2312"/>
          <w:b w:val="0"/>
          <w:i w:val="0"/>
          <w:strike w:val="0"/>
          <w:color w:val="auto"/>
          <w:sz w:val="32"/>
          <w:szCs w:val="32"/>
          <w:u w:val="none"/>
          <w:lang w:val="en-US" w:eastAsia="zh-CN"/>
        </w:rPr>
        <w:t>的运营管理，应当遵守下列规定：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1" w:name="tiao_12_kuan_1_xiang_1"/>
      <w:bookmarkEnd w:id="11"/>
      <w:r>
        <w:rPr>
          <w:rFonts w:hint="default" w:ascii="方正仿宋_GB2312" w:hAnsi="方正仿宋_GB2312" w:eastAsia="方正仿宋_GB2312" w:cs="方正仿宋_GB2312"/>
          <w:b w:val="0"/>
          <w:i w:val="0"/>
          <w:strike w:val="0"/>
          <w:color w:val="auto"/>
          <w:sz w:val="32"/>
          <w:szCs w:val="32"/>
          <w:u w:val="none"/>
          <w:lang w:val="en-US" w:eastAsia="zh-CN"/>
        </w:rPr>
        <w:t>（一）履行安全生产主体责任，落实车辆投放、转运、维修、充换电等各环节安全措施，防止安全生产事故发生；</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2" w:name="tiao_12_kuan_1_xiang_3"/>
      <w:bookmarkEnd w:id="12"/>
      <w:bookmarkStart w:id="13" w:name="tiao_12_kuan_1_xiang_2"/>
      <w:bookmarkEnd w:id="13"/>
      <w:r>
        <w:rPr>
          <w:rFonts w:hint="default" w:ascii="方正仿宋_GB2312" w:hAnsi="方正仿宋_GB2312" w:eastAsia="方正仿宋_GB2312" w:cs="方正仿宋_GB2312"/>
          <w:b w:val="0"/>
          <w:i w:val="0"/>
          <w:strike w:val="0"/>
          <w:color w:val="auto"/>
          <w:sz w:val="32"/>
          <w:szCs w:val="32"/>
          <w:u w:val="none"/>
          <w:lang w:val="en-US"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二</w:t>
      </w:r>
      <w:r>
        <w:rPr>
          <w:rFonts w:hint="default" w:ascii="方正仿宋_GB2312" w:hAnsi="方正仿宋_GB2312" w:eastAsia="方正仿宋_GB2312" w:cs="方正仿宋_GB2312"/>
          <w:b w:val="0"/>
          <w:i w:val="0"/>
          <w:strike w:val="0"/>
          <w:color w:val="auto"/>
          <w:sz w:val="32"/>
          <w:szCs w:val="32"/>
          <w:u w:val="none"/>
          <w:lang w:val="en-US" w:eastAsia="zh-CN"/>
        </w:rPr>
        <w:t>）对车辆进行日常运营维护，保持良好安全的车容车况，符合市容和环境卫生的相关规定；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4" w:name="tiao_12_kuan_1_xiang_4"/>
      <w:bookmarkEnd w:id="14"/>
      <w:r>
        <w:rPr>
          <w:rFonts w:hint="default" w:ascii="方正仿宋_GB2312" w:hAnsi="方正仿宋_GB2312" w:eastAsia="方正仿宋_GB2312" w:cs="方正仿宋_GB2312"/>
          <w:b w:val="0"/>
          <w:i w:val="0"/>
          <w:strike w:val="0"/>
          <w:color w:val="auto"/>
          <w:sz w:val="32"/>
          <w:szCs w:val="32"/>
          <w:u w:val="none"/>
          <w:lang w:val="en-US"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三</w:t>
      </w:r>
      <w:r>
        <w:rPr>
          <w:rFonts w:hint="default" w:ascii="方正仿宋_GB2312" w:hAnsi="方正仿宋_GB2312" w:eastAsia="方正仿宋_GB2312" w:cs="方正仿宋_GB2312"/>
          <w:b w:val="0"/>
          <w:i w:val="0"/>
          <w:strike w:val="0"/>
          <w:color w:val="auto"/>
          <w:sz w:val="32"/>
          <w:szCs w:val="32"/>
          <w:u w:val="none"/>
          <w:lang w:val="en-US" w:eastAsia="zh-CN"/>
        </w:rPr>
        <w:t>）加强车辆调度管理，对无序停放、堆积停放或者在非指定区域停放，妨碍其他车辆、行人正常通行的，及时进行清理；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5" w:name="tiao_12_kuan_1_xiang_5"/>
      <w:bookmarkEnd w:id="15"/>
      <w:r>
        <w:rPr>
          <w:rFonts w:hint="default" w:ascii="方正仿宋_GB2312" w:hAnsi="方正仿宋_GB2312" w:eastAsia="方正仿宋_GB2312" w:cs="方正仿宋_GB2312"/>
          <w:b w:val="0"/>
          <w:i w:val="0"/>
          <w:strike w:val="0"/>
          <w:color w:val="auto"/>
          <w:sz w:val="32"/>
          <w:szCs w:val="32"/>
          <w:u w:val="none"/>
          <w:lang w:val="en-US"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四</w:t>
      </w:r>
      <w:r>
        <w:rPr>
          <w:rFonts w:hint="default" w:ascii="方正仿宋_GB2312" w:hAnsi="方正仿宋_GB2312" w:eastAsia="方正仿宋_GB2312" w:cs="方正仿宋_GB2312"/>
          <w:b w:val="0"/>
          <w:i w:val="0"/>
          <w:strike w:val="0"/>
          <w:color w:val="auto"/>
          <w:sz w:val="32"/>
          <w:szCs w:val="32"/>
          <w:u w:val="none"/>
          <w:lang w:val="en-US" w:eastAsia="zh-CN"/>
        </w:rPr>
        <w:t>）及时回收故障、破损、废弃、不符合技术标准的车辆</w:t>
      </w:r>
      <w:r>
        <w:rPr>
          <w:rFonts w:hint="eastAsia" w:ascii="方正仿宋_GB2312" w:hAnsi="方正仿宋_GB2312" w:eastAsia="方正仿宋_GB2312" w:cs="方正仿宋_GB2312"/>
          <w:b w:val="0"/>
          <w:i w:val="0"/>
          <w:strike w:val="0"/>
          <w:color w:val="auto"/>
          <w:sz w:val="32"/>
          <w:szCs w:val="32"/>
          <w:u w:val="none"/>
          <w:lang w:val="en-US" w:eastAsia="zh-CN"/>
        </w:rPr>
        <w:t>，车辆出现更换、丢失、废弃等情况应及时向城市管理行政执法部门报备</w:t>
      </w:r>
      <w:r>
        <w:rPr>
          <w:rFonts w:hint="default" w:ascii="方正仿宋_GB2312" w:hAnsi="方正仿宋_GB2312" w:eastAsia="方正仿宋_GB2312" w:cs="方正仿宋_GB2312"/>
          <w:b w:val="0"/>
          <w:i w:val="0"/>
          <w:strike w:val="0"/>
          <w:color w:val="auto"/>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6" w:name="tiao_12_kuan_1_xiang_6"/>
      <w:bookmarkEnd w:id="16"/>
      <w:r>
        <w:rPr>
          <w:rFonts w:hint="default" w:ascii="方正仿宋_GB2312" w:hAnsi="方正仿宋_GB2312" w:eastAsia="方正仿宋_GB2312" w:cs="方正仿宋_GB2312"/>
          <w:b w:val="0"/>
          <w:i w:val="0"/>
          <w:strike w:val="0"/>
          <w:color w:val="auto"/>
          <w:sz w:val="32"/>
          <w:szCs w:val="32"/>
          <w:u w:val="none"/>
          <w:lang w:val="en-US"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五</w:t>
      </w:r>
      <w:r>
        <w:rPr>
          <w:rFonts w:hint="default" w:ascii="方正仿宋_GB2312" w:hAnsi="方正仿宋_GB2312" w:eastAsia="方正仿宋_GB2312" w:cs="方正仿宋_GB2312"/>
          <w:b w:val="0"/>
          <w:i w:val="0"/>
          <w:strike w:val="0"/>
          <w:color w:val="auto"/>
          <w:sz w:val="32"/>
          <w:szCs w:val="32"/>
          <w:u w:val="none"/>
          <w:lang w:val="en-US" w:eastAsia="zh-CN"/>
        </w:rPr>
        <w:t>）利用移动互联网应用程序、手机短信明确告知用户可停放区和禁停区等相关信息，采取电子地图、电子围栏等技术措施规范用户停车；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7" w:name="tiao_12_kuan_1_xiang_7"/>
      <w:bookmarkEnd w:id="17"/>
      <w:r>
        <w:rPr>
          <w:rFonts w:hint="default" w:ascii="方正仿宋_GB2312" w:hAnsi="方正仿宋_GB2312" w:eastAsia="方正仿宋_GB2312" w:cs="方正仿宋_GB2312"/>
          <w:b w:val="0"/>
          <w:i w:val="0"/>
          <w:strike w:val="0"/>
          <w:color w:val="auto"/>
          <w:sz w:val="32"/>
          <w:szCs w:val="32"/>
          <w:u w:val="none"/>
          <w:lang w:val="en-US"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六</w:t>
      </w:r>
      <w:r>
        <w:rPr>
          <w:rFonts w:hint="default" w:ascii="方正仿宋_GB2312" w:hAnsi="方正仿宋_GB2312" w:eastAsia="方正仿宋_GB2312" w:cs="方正仿宋_GB2312"/>
          <w:b w:val="0"/>
          <w:i w:val="0"/>
          <w:strike w:val="0"/>
          <w:color w:val="auto"/>
          <w:sz w:val="32"/>
          <w:szCs w:val="32"/>
          <w:u w:val="none"/>
          <w:lang w:val="en-US" w:eastAsia="zh-CN"/>
        </w:rPr>
        <w:t>）在</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default" w:ascii="方正仿宋_GB2312" w:hAnsi="方正仿宋_GB2312" w:eastAsia="方正仿宋_GB2312" w:cs="方正仿宋_GB2312"/>
          <w:b w:val="0"/>
          <w:i w:val="0"/>
          <w:strike w:val="0"/>
          <w:color w:val="auto"/>
          <w:sz w:val="32"/>
          <w:szCs w:val="32"/>
          <w:u w:val="none"/>
          <w:lang w:val="en-US" w:eastAsia="zh-CN"/>
        </w:rPr>
        <w:t>停放区、车身醒目位置和</w:t>
      </w:r>
      <w:r>
        <w:rPr>
          <w:rFonts w:hint="eastAsia" w:ascii="方正仿宋_GB2312" w:hAnsi="方正仿宋_GB2312" w:eastAsia="方正仿宋_GB2312" w:cs="方正仿宋_GB2312"/>
          <w:b w:val="0"/>
          <w:i w:val="0"/>
          <w:strike w:val="0"/>
          <w:color w:val="auto"/>
          <w:sz w:val="32"/>
          <w:szCs w:val="32"/>
          <w:u w:val="none"/>
          <w:lang w:val="en-US" w:eastAsia="zh-CN"/>
        </w:rPr>
        <w:t>移动互联网应用程序</w:t>
      </w:r>
      <w:r>
        <w:rPr>
          <w:rFonts w:hint="default" w:ascii="方正仿宋_GB2312" w:hAnsi="方正仿宋_GB2312" w:eastAsia="方正仿宋_GB2312" w:cs="方正仿宋_GB2312"/>
          <w:b w:val="0"/>
          <w:i w:val="0"/>
          <w:strike w:val="0"/>
          <w:color w:val="auto"/>
          <w:sz w:val="32"/>
          <w:szCs w:val="32"/>
          <w:u w:val="none"/>
          <w:lang w:val="en-US" w:eastAsia="zh-CN"/>
        </w:rPr>
        <w:t>中，设置禁止骑行的相关警示标语、标识；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18" w:name="tiao_12_kuan_1_xiang_9"/>
      <w:bookmarkEnd w:id="18"/>
      <w:bookmarkStart w:id="19" w:name="tiao_12_kuan_1_xiang_8"/>
      <w:bookmarkEnd w:id="19"/>
      <w:r>
        <w:rPr>
          <w:rFonts w:hint="default" w:ascii="方正仿宋_GB2312" w:hAnsi="方正仿宋_GB2312" w:eastAsia="方正仿宋_GB2312" w:cs="方正仿宋_GB2312"/>
          <w:b w:val="0"/>
          <w:i w:val="0"/>
          <w:strike w:val="0"/>
          <w:color w:val="auto"/>
          <w:sz w:val="32"/>
          <w:szCs w:val="32"/>
          <w:u w:val="none"/>
          <w:lang w:val="en-US" w:eastAsia="zh-CN"/>
        </w:rPr>
        <w:t>（</w:t>
      </w:r>
      <w:r>
        <w:rPr>
          <w:rFonts w:hint="eastAsia" w:ascii="方正仿宋_GB2312" w:hAnsi="方正仿宋_GB2312" w:eastAsia="方正仿宋_GB2312" w:cs="方正仿宋_GB2312"/>
          <w:b w:val="0"/>
          <w:i w:val="0"/>
          <w:strike w:val="0"/>
          <w:color w:val="auto"/>
          <w:sz w:val="32"/>
          <w:szCs w:val="32"/>
          <w:u w:val="none"/>
          <w:lang w:val="en-US" w:eastAsia="zh-CN"/>
        </w:rPr>
        <w:t>七</w:t>
      </w:r>
      <w:r>
        <w:rPr>
          <w:rFonts w:hint="default" w:ascii="方正仿宋_GB2312" w:hAnsi="方正仿宋_GB2312" w:eastAsia="方正仿宋_GB2312" w:cs="方正仿宋_GB2312"/>
          <w:b w:val="0"/>
          <w:i w:val="0"/>
          <w:strike w:val="0"/>
          <w:color w:val="auto"/>
          <w:sz w:val="32"/>
          <w:szCs w:val="32"/>
          <w:u w:val="none"/>
          <w:lang w:val="en-US" w:eastAsia="zh-CN"/>
        </w:rPr>
        <w:t>）建立投诉处理制度，向社会公开投诉途径、处理方式和办结时限。</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0" w:name="tiao_12_kuan_2"/>
      <w:bookmarkEnd w:id="20"/>
      <w:r>
        <w:rPr>
          <w:rFonts w:hint="default" w:ascii="方正仿宋_GB2312" w:hAnsi="方正仿宋_GB2312" w:eastAsia="方正仿宋_GB2312" w:cs="方正仿宋_GB2312"/>
          <w:b/>
          <w:bCs/>
          <w:i w:val="0"/>
          <w:strike w:val="0"/>
          <w:color w:val="auto"/>
          <w:sz w:val="32"/>
          <w:szCs w:val="32"/>
          <w:u w:val="none"/>
          <w:lang w:val="en-US" w:eastAsia="zh-CN"/>
        </w:rPr>
        <w:t>第</w:t>
      </w:r>
      <w:r>
        <w:rPr>
          <w:rFonts w:hint="eastAsia" w:ascii="方正仿宋_GB2312" w:hAnsi="方正仿宋_GB2312" w:eastAsia="方正仿宋_GB2312" w:cs="方正仿宋_GB2312"/>
          <w:b/>
          <w:bCs/>
          <w:i w:val="0"/>
          <w:strike w:val="0"/>
          <w:color w:val="auto"/>
          <w:sz w:val="32"/>
          <w:szCs w:val="32"/>
          <w:u w:val="none"/>
          <w:lang w:val="en-US" w:eastAsia="zh-CN"/>
        </w:rPr>
        <w:t>九</w:t>
      </w:r>
      <w:r>
        <w:rPr>
          <w:rFonts w:hint="default" w:ascii="方正仿宋_GB2312" w:hAnsi="方正仿宋_GB2312" w:eastAsia="方正仿宋_GB2312" w:cs="方正仿宋_GB2312"/>
          <w:b/>
          <w:bCs/>
          <w:i w:val="0"/>
          <w:strike w:val="0"/>
          <w:color w:val="auto"/>
          <w:sz w:val="32"/>
          <w:szCs w:val="32"/>
          <w:u w:val="none"/>
          <w:lang w:val="en-US" w:eastAsia="zh-CN"/>
        </w:rPr>
        <w:t>条</w:t>
      </w:r>
      <w:bookmarkStart w:id="21" w:name="tiao_13_kuan_1"/>
      <w:bookmarkEnd w:id="21"/>
      <w:r>
        <w:rPr>
          <w:rFonts w:hint="default" w:ascii="方正仿宋_GB2312" w:hAnsi="方正仿宋_GB2312" w:eastAsia="方正仿宋_GB2312" w:cs="方正仿宋_GB2312"/>
          <w:b w:val="0"/>
          <w:i w:val="0"/>
          <w:strike w:val="0"/>
          <w:color w:val="auto"/>
          <w:sz w:val="32"/>
          <w:szCs w:val="32"/>
          <w:u w:val="none"/>
          <w:lang w:val="en-US" w:eastAsia="zh-CN"/>
        </w:rPr>
        <w:t>　运营</w:t>
      </w:r>
      <w:r>
        <w:rPr>
          <w:rFonts w:hint="eastAsia" w:ascii="方正仿宋_GB2312" w:hAnsi="方正仿宋_GB2312" w:eastAsia="方正仿宋_GB2312" w:cs="方正仿宋_GB2312"/>
          <w:b w:val="0"/>
          <w:i w:val="0"/>
          <w:strike w:val="0"/>
          <w:color w:val="auto"/>
          <w:sz w:val="32"/>
          <w:szCs w:val="32"/>
          <w:u w:val="none"/>
          <w:lang w:val="en-US" w:eastAsia="zh-CN"/>
        </w:rPr>
        <w:t>企业</w:t>
      </w:r>
      <w:r>
        <w:rPr>
          <w:rFonts w:hint="default" w:ascii="方正仿宋_GB2312" w:hAnsi="方正仿宋_GB2312" w:eastAsia="方正仿宋_GB2312" w:cs="方正仿宋_GB2312"/>
          <w:b w:val="0"/>
          <w:i w:val="0"/>
          <w:strike w:val="0"/>
          <w:color w:val="auto"/>
          <w:sz w:val="32"/>
          <w:szCs w:val="32"/>
          <w:u w:val="none"/>
          <w:lang w:val="en-US" w:eastAsia="zh-CN"/>
        </w:rPr>
        <w:t>可以通过建立网格化巡查、疏导和处置制度，针对高峰时段、重大活动期间</w:t>
      </w:r>
      <w:r>
        <w:rPr>
          <w:rFonts w:hint="eastAsia" w:ascii="方正仿宋_GB2312" w:hAnsi="方正仿宋_GB2312" w:eastAsia="方正仿宋_GB2312" w:cs="方正仿宋_GB2312"/>
          <w:b w:val="0"/>
          <w:i w:val="0"/>
          <w:strike w:val="0"/>
          <w:color w:val="auto"/>
          <w:sz w:val="32"/>
          <w:szCs w:val="32"/>
          <w:u w:val="none"/>
          <w:lang w:val="en-US" w:eastAsia="zh-CN"/>
        </w:rPr>
        <w:t>公</w:t>
      </w:r>
      <w:r>
        <w:rPr>
          <w:rFonts w:hint="default" w:ascii="方正仿宋_GB2312" w:hAnsi="方正仿宋_GB2312" w:eastAsia="方正仿宋_GB2312" w:cs="方正仿宋_GB2312"/>
          <w:b w:val="0"/>
          <w:i w:val="0"/>
          <w:strike w:val="0"/>
          <w:color w:val="auto"/>
          <w:sz w:val="32"/>
          <w:szCs w:val="32"/>
          <w:u w:val="none"/>
          <w:lang w:val="en-US" w:eastAsia="zh-CN"/>
        </w:rPr>
        <w:t>交站点、体育场馆、医院、学校、商业区等骑行或者停放需求较大、市民投诉较为集中的区域，配合公安机关交通管理、</w:t>
      </w:r>
      <w:r>
        <w:rPr>
          <w:rFonts w:hint="eastAsia" w:ascii="方正仿宋_GB2312" w:hAnsi="方正仿宋_GB2312" w:eastAsia="方正仿宋_GB2312" w:cs="方正仿宋_GB2312"/>
          <w:b w:val="0"/>
          <w:i w:val="0"/>
          <w:strike w:val="0"/>
          <w:color w:val="auto"/>
          <w:sz w:val="32"/>
          <w:szCs w:val="32"/>
          <w:u w:val="none"/>
        </w:rPr>
        <w:t>城市管理部门</w:t>
      </w:r>
      <w:r>
        <w:rPr>
          <w:rFonts w:hint="default" w:ascii="方正仿宋_GB2312" w:hAnsi="方正仿宋_GB2312" w:eastAsia="方正仿宋_GB2312" w:cs="方正仿宋_GB2312"/>
          <w:b w:val="0"/>
          <w:i w:val="0"/>
          <w:strike w:val="0"/>
          <w:color w:val="auto"/>
          <w:sz w:val="32"/>
          <w:szCs w:val="32"/>
          <w:u w:val="none"/>
          <w:lang w:val="en-US" w:eastAsia="zh-CN"/>
        </w:rPr>
        <w:t>完成快速响应处置，避免车辆过度集中妨碍其他车辆和行人的正常通行。</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2" w:name="tiao_14"/>
      <w:bookmarkEnd w:id="22"/>
      <w:r>
        <w:rPr>
          <w:rFonts w:hint="default" w:ascii="方正仿宋_GB2312" w:hAnsi="方正仿宋_GB2312" w:eastAsia="方正仿宋_GB2312" w:cs="方正仿宋_GB2312"/>
          <w:b/>
          <w:bCs/>
          <w:i w:val="0"/>
          <w:strike w:val="0"/>
          <w:color w:val="auto"/>
          <w:sz w:val="32"/>
          <w:szCs w:val="32"/>
          <w:u w:val="none"/>
          <w:lang w:val="en-US" w:eastAsia="zh-CN"/>
        </w:rPr>
        <w:t>第十条</w:t>
      </w:r>
      <w:bookmarkStart w:id="23" w:name="tiao_14_kuan_1"/>
      <w:bookmarkEnd w:id="23"/>
      <w:r>
        <w:rPr>
          <w:rFonts w:hint="default" w:ascii="方正仿宋_GB2312" w:hAnsi="方正仿宋_GB2312" w:eastAsia="方正仿宋_GB2312" w:cs="方正仿宋_GB2312"/>
          <w:b w:val="0"/>
          <w:i w:val="0"/>
          <w:strike w:val="0"/>
          <w:color w:val="auto"/>
          <w:sz w:val="32"/>
          <w:szCs w:val="32"/>
          <w:u w:val="none"/>
          <w:lang w:val="en-US" w:eastAsia="zh-CN"/>
        </w:rPr>
        <w:t>　运营</w:t>
      </w:r>
      <w:r>
        <w:rPr>
          <w:rFonts w:hint="eastAsia" w:ascii="方正仿宋_GB2312" w:hAnsi="方正仿宋_GB2312" w:eastAsia="方正仿宋_GB2312" w:cs="方正仿宋_GB2312"/>
          <w:b w:val="0"/>
          <w:i w:val="0"/>
          <w:strike w:val="0"/>
          <w:color w:val="auto"/>
          <w:sz w:val="32"/>
          <w:szCs w:val="32"/>
          <w:u w:val="none"/>
          <w:lang w:val="en-US" w:eastAsia="zh-CN"/>
        </w:rPr>
        <w:t>企业</w:t>
      </w:r>
      <w:r>
        <w:rPr>
          <w:rFonts w:hint="default" w:ascii="方正仿宋_GB2312" w:hAnsi="方正仿宋_GB2312" w:eastAsia="方正仿宋_GB2312" w:cs="方正仿宋_GB2312"/>
          <w:b w:val="0"/>
          <w:i w:val="0"/>
          <w:strike w:val="0"/>
          <w:color w:val="auto"/>
          <w:sz w:val="32"/>
          <w:szCs w:val="32"/>
          <w:u w:val="none"/>
          <w:lang w:val="en-US" w:eastAsia="zh-CN"/>
        </w:rPr>
        <w:t>应当遵守国家网络、信息安全有关规定：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4" w:name="tiao_14_kuan_1_xiang_1"/>
      <w:bookmarkEnd w:id="24"/>
      <w:r>
        <w:rPr>
          <w:rFonts w:hint="default" w:ascii="方正仿宋_GB2312" w:hAnsi="方正仿宋_GB2312" w:eastAsia="方正仿宋_GB2312" w:cs="方正仿宋_GB2312"/>
          <w:b w:val="0"/>
          <w:i w:val="0"/>
          <w:strike w:val="0"/>
          <w:color w:val="auto"/>
          <w:sz w:val="32"/>
          <w:szCs w:val="32"/>
          <w:u w:val="none"/>
          <w:lang w:val="en-US" w:eastAsia="zh-CN"/>
        </w:rPr>
        <w:t>（一）依法合规采集、使用和保护个人信息，强化系统数据安全保护，防范违法信息传播扩散；</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5" w:name="tiao_14_kuan_1_xiang_2"/>
      <w:bookmarkEnd w:id="25"/>
      <w:r>
        <w:rPr>
          <w:rFonts w:hint="default" w:ascii="方正仿宋_GB2312" w:hAnsi="方正仿宋_GB2312" w:eastAsia="方正仿宋_GB2312" w:cs="方正仿宋_GB2312"/>
          <w:b w:val="0"/>
          <w:i w:val="0"/>
          <w:strike w:val="0"/>
          <w:color w:val="auto"/>
          <w:sz w:val="32"/>
          <w:szCs w:val="32"/>
          <w:u w:val="none"/>
          <w:lang w:val="en-US" w:eastAsia="zh-CN"/>
        </w:rPr>
        <w:t>（二）采集的信息不得超越提供</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default" w:ascii="方正仿宋_GB2312" w:hAnsi="方正仿宋_GB2312" w:eastAsia="方正仿宋_GB2312" w:cs="方正仿宋_GB2312"/>
          <w:b w:val="0"/>
          <w:i w:val="0"/>
          <w:strike w:val="0"/>
          <w:color w:val="auto"/>
          <w:sz w:val="32"/>
          <w:szCs w:val="32"/>
          <w:u w:val="none"/>
          <w:lang w:val="en-US" w:eastAsia="zh-CN"/>
        </w:rPr>
        <w:t>服务所必须的范围，采集的信息和生成的相关数据应当在境内储存和使用；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6" w:name="tiao_14_kuan_1_xiang_3"/>
      <w:bookmarkEnd w:id="26"/>
      <w:r>
        <w:rPr>
          <w:rFonts w:hint="default" w:ascii="方正仿宋_GB2312" w:hAnsi="方正仿宋_GB2312" w:eastAsia="方正仿宋_GB2312" w:cs="方正仿宋_GB2312"/>
          <w:b w:val="0"/>
          <w:i w:val="0"/>
          <w:strike w:val="0"/>
          <w:color w:val="auto"/>
          <w:sz w:val="32"/>
          <w:szCs w:val="32"/>
          <w:u w:val="none"/>
          <w:lang w:val="en-US" w:eastAsia="zh-CN"/>
        </w:rPr>
        <w:t>（三）发生重大网络和信息安全事件，应当及时向属地政府、网信、公安机关、交通运输等部门报告；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7" w:name="tiao_14_kuan_1_xiang_4"/>
      <w:bookmarkEnd w:id="27"/>
      <w:r>
        <w:rPr>
          <w:rFonts w:hint="default" w:ascii="方正仿宋_GB2312" w:hAnsi="方正仿宋_GB2312" w:eastAsia="方正仿宋_GB2312" w:cs="方正仿宋_GB2312"/>
          <w:b w:val="0"/>
          <w:i w:val="0"/>
          <w:strike w:val="0"/>
          <w:color w:val="auto"/>
          <w:sz w:val="32"/>
          <w:szCs w:val="32"/>
          <w:u w:val="none"/>
          <w:lang w:val="en-US" w:eastAsia="zh-CN"/>
        </w:rPr>
        <w:t>（四）法律法规的其他有关规定。</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28" w:name="tiao_15"/>
      <w:bookmarkEnd w:id="28"/>
      <w:r>
        <w:rPr>
          <w:rFonts w:hint="default" w:ascii="方正仿宋_GB2312" w:hAnsi="方正仿宋_GB2312" w:eastAsia="方正仿宋_GB2312" w:cs="方正仿宋_GB2312"/>
          <w:b/>
          <w:bCs/>
          <w:i w:val="0"/>
          <w:strike w:val="0"/>
          <w:color w:val="auto"/>
          <w:sz w:val="32"/>
          <w:szCs w:val="32"/>
          <w:u w:val="none"/>
          <w:lang w:val="en-US" w:eastAsia="zh-CN"/>
        </w:rPr>
        <w:t>第十</w:t>
      </w:r>
      <w:r>
        <w:rPr>
          <w:rFonts w:hint="eastAsia" w:ascii="方正仿宋_GB2312" w:hAnsi="方正仿宋_GB2312" w:eastAsia="方正仿宋_GB2312" w:cs="方正仿宋_GB2312"/>
          <w:b/>
          <w:bCs/>
          <w:i w:val="0"/>
          <w:strike w:val="0"/>
          <w:color w:val="auto"/>
          <w:sz w:val="32"/>
          <w:szCs w:val="32"/>
          <w:u w:val="none"/>
          <w:lang w:val="en-US" w:eastAsia="zh-CN"/>
        </w:rPr>
        <w:t>一</w:t>
      </w:r>
      <w:r>
        <w:rPr>
          <w:rFonts w:hint="default" w:ascii="方正仿宋_GB2312" w:hAnsi="方正仿宋_GB2312" w:eastAsia="方正仿宋_GB2312" w:cs="方正仿宋_GB2312"/>
          <w:b/>
          <w:bCs/>
          <w:i w:val="0"/>
          <w:strike w:val="0"/>
          <w:color w:val="auto"/>
          <w:sz w:val="32"/>
          <w:szCs w:val="32"/>
          <w:u w:val="none"/>
          <w:lang w:val="en-US" w:eastAsia="zh-CN"/>
        </w:rPr>
        <w:t>条</w:t>
      </w:r>
      <w:bookmarkStart w:id="29" w:name="tiao_15_kuan_1"/>
      <w:bookmarkEnd w:id="29"/>
      <w:r>
        <w:rPr>
          <w:rFonts w:hint="default" w:ascii="方正仿宋_GB2312" w:hAnsi="方正仿宋_GB2312" w:eastAsia="方正仿宋_GB2312" w:cs="方正仿宋_GB2312"/>
          <w:b w:val="0"/>
          <w:i w:val="0"/>
          <w:strike w:val="0"/>
          <w:color w:val="auto"/>
          <w:sz w:val="32"/>
          <w:szCs w:val="32"/>
          <w:u w:val="none"/>
          <w:lang w:val="en-US" w:eastAsia="zh-CN"/>
        </w:rPr>
        <w:t>　互联网租赁</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default" w:ascii="方正仿宋_GB2312" w:hAnsi="方正仿宋_GB2312" w:eastAsia="方正仿宋_GB2312" w:cs="方正仿宋_GB2312"/>
          <w:b w:val="0"/>
          <w:i w:val="0"/>
          <w:strike w:val="0"/>
          <w:color w:val="auto"/>
          <w:sz w:val="32"/>
          <w:szCs w:val="32"/>
          <w:u w:val="none"/>
          <w:lang w:val="en-US" w:eastAsia="zh-CN"/>
        </w:rPr>
        <w:t>应当实行用户实名制注册。在提供服务前，通过租赁服务协议等形式向用户明确双方权利和义务。租赁服务协议应当明确收费标准和计价方式、骑行和停放要求、用户个人信息保护、违约责任、保险等内容。</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方正仿宋_GB2312" w:hAnsi="方正仿宋_GB2312" w:eastAsia="方正仿宋_GB2312" w:cs="方正仿宋_GB2312"/>
          <w:b w:val="0"/>
          <w:i w:val="0"/>
          <w:strike w:val="0"/>
          <w:color w:val="auto"/>
          <w:sz w:val="32"/>
          <w:szCs w:val="32"/>
          <w:u w:val="none"/>
          <w:lang w:val="en-US" w:eastAsia="zh-CN"/>
        </w:rPr>
      </w:pPr>
      <w:bookmarkStart w:id="30" w:name="tiao_15_kuan_2"/>
      <w:bookmarkEnd w:id="30"/>
      <w:r>
        <w:rPr>
          <w:rFonts w:hint="default" w:ascii="方正仿宋_GB2312" w:hAnsi="方正仿宋_GB2312" w:eastAsia="方正仿宋_GB2312" w:cs="方正仿宋_GB2312"/>
          <w:b w:val="0"/>
          <w:i w:val="0"/>
          <w:strike w:val="0"/>
          <w:color w:val="auto"/>
          <w:sz w:val="32"/>
          <w:szCs w:val="32"/>
          <w:u w:val="none"/>
          <w:lang w:val="en-US" w:eastAsia="zh-CN"/>
        </w:rPr>
        <w:t>鼓励运营</w:t>
      </w:r>
      <w:r>
        <w:rPr>
          <w:rFonts w:hint="eastAsia" w:ascii="方正仿宋_GB2312" w:hAnsi="方正仿宋_GB2312" w:eastAsia="方正仿宋_GB2312" w:cs="方正仿宋_GB2312"/>
          <w:b w:val="0"/>
          <w:i w:val="0"/>
          <w:strike w:val="0"/>
          <w:color w:val="auto"/>
          <w:sz w:val="32"/>
          <w:szCs w:val="32"/>
          <w:u w:val="none"/>
          <w:lang w:val="en-US" w:eastAsia="zh-CN"/>
        </w:rPr>
        <w:t>企业</w:t>
      </w:r>
      <w:r>
        <w:rPr>
          <w:rFonts w:hint="default" w:ascii="方正仿宋_GB2312" w:hAnsi="方正仿宋_GB2312" w:eastAsia="方正仿宋_GB2312" w:cs="方正仿宋_GB2312"/>
          <w:b w:val="0"/>
          <w:i w:val="0"/>
          <w:strike w:val="0"/>
          <w:color w:val="auto"/>
          <w:sz w:val="32"/>
          <w:szCs w:val="32"/>
          <w:u w:val="none"/>
          <w:lang w:val="en-US" w:eastAsia="zh-CN"/>
        </w:rPr>
        <w:t>为用户购买人身意外伤害险和第三者责任保险，协助办理保险理赔；鼓励建立事故赔偿机制，将事故处理流程、保险标准等在服务协议中明确。</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bookmarkStart w:id="31" w:name="tiao_15_kuan_3"/>
      <w:bookmarkEnd w:id="31"/>
      <w:r>
        <w:rPr>
          <w:rStyle w:val="9"/>
          <w:rFonts w:hint="eastAsia" w:ascii="方正仿宋_GB2312" w:hAnsi="方正仿宋_GB2312" w:eastAsia="方正仿宋_GB2312" w:cs="方正仿宋_GB2312"/>
          <w:sz w:val="32"/>
          <w:szCs w:val="32"/>
        </w:rPr>
        <w:t>第十</w:t>
      </w:r>
      <w:r>
        <w:rPr>
          <w:rStyle w:val="9"/>
          <w:rFonts w:hint="eastAsia" w:ascii="方正仿宋_GB2312" w:hAnsi="方正仿宋_GB2312" w:eastAsia="方正仿宋_GB2312" w:cs="方正仿宋_GB2312"/>
          <w:sz w:val="32"/>
          <w:szCs w:val="32"/>
          <w:lang w:val="en-US"/>
        </w:rPr>
        <w:t>二</w:t>
      </w:r>
      <w:r>
        <w:rPr>
          <w:rStyle w:val="9"/>
          <w:rFonts w:hint="eastAsia" w:ascii="方正仿宋_GB2312" w:hAnsi="方正仿宋_GB2312" w:eastAsia="方正仿宋_GB2312" w:cs="方正仿宋_GB2312"/>
          <w:sz w:val="32"/>
          <w:szCs w:val="32"/>
        </w:rPr>
        <w:t>条​</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r>
        <w:rPr>
          <w:rFonts w:hint="eastAsia" w:ascii="方正仿宋_GB2312" w:hAnsi="方正仿宋_GB2312" w:eastAsia="方正仿宋_GB2312" w:cs="方正仿宋_GB2312"/>
          <w:b w:val="0"/>
          <w:i w:val="0"/>
          <w:strike w:val="0"/>
          <w:color w:val="auto"/>
          <w:sz w:val="32"/>
          <w:szCs w:val="32"/>
          <w:u w:val="none"/>
        </w:rPr>
        <w:t>用户需实名认证，十六周岁以上的未成年人可以使用互联网租赁</w:t>
      </w:r>
      <w:r>
        <w:rPr>
          <w:rFonts w:hint="eastAsia" w:ascii="方正仿宋_GB2312" w:hAnsi="方正仿宋_GB2312" w:eastAsia="方正仿宋_GB2312" w:cs="方正仿宋_GB2312"/>
          <w:b w:val="0"/>
          <w:i w:val="0"/>
          <w:strike w:val="0"/>
          <w:color w:val="auto"/>
          <w:sz w:val="32"/>
          <w:szCs w:val="32"/>
          <w:u w:val="none"/>
          <w:lang w:val="en-US" w:eastAsia="zh-CN"/>
        </w:rPr>
        <w:t>共享电单车。</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bookmarkStart w:id="32" w:name="tiao_16_kuan_3"/>
      <w:bookmarkEnd w:id="32"/>
      <w:r>
        <w:rPr>
          <w:rFonts w:hint="eastAsia" w:ascii="方正仿宋_GB2312" w:hAnsi="方正仿宋_GB2312" w:eastAsia="方正仿宋_GB2312" w:cs="方正仿宋_GB2312"/>
          <w:b w:val="0"/>
          <w:i w:val="0"/>
          <w:strike w:val="0"/>
          <w:color w:val="auto"/>
          <w:sz w:val="32"/>
          <w:szCs w:val="32"/>
          <w:u w:val="none"/>
          <w:lang w:val="en-US" w:eastAsia="zh-CN"/>
        </w:rPr>
        <w:t>共享电单车用户应当将车辆停放在线框内，并服从城市管理行政执法部门和运营企业的管理。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bookmarkStart w:id="33" w:name="tiao_16_kuan_4"/>
      <w:bookmarkEnd w:id="33"/>
      <w:r>
        <w:rPr>
          <w:rFonts w:hint="eastAsia" w:ascii="方正仿宋_GB2312" w:hAnsi="方正仿宋_GB2312" w:eastAsia="方正仿宋_GB2312" w:cs="方正仿宋_GB2312"/>
          <w:b w:val="0"/>
          <w:i w:val="0"/>
          <w:strike w:val="0"/>
          <w:color w:val="auto"/>
          <w:sz w:val="32"/>
          <w:szCs w:val="32"/>
          <w:u w:val="none"/>
          <w:lang w:val="en-US" w:eastAsia="zh-CN"/>
        </w:rPr>
        <w:t>共享电单车用户驾驶车辆，应当掌握车辆性能和驾驶技术，遵守道路交通安全等法律、法规和规章的规定，安全骑行。</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eastAsia" w:ascii="方正仿宋_GB2312" w:hAnsi="方正仿宋_GB2312" w:eastAsia="方正仿宋_GB2312" w:cs="方正仿宋_GB2312"/>
          <w:b w:val="0"/>
          <w:bCs w:val="0"/>
          <w:i w:val="0"/>
          <w:strike w:val="0"/>
          <w:color w:val="auto"/>
          <w:sz w:val="32"/>
          <w:szCs w:val="32"/>
          <w:u w:val="none"/>
          <w:lang w:val="en-US" w:eastAsia="zh-CN"/>
        </w:rPr>
      </w:pPr>
      <w:bookmarkStart w:id="34" w:name="tiao_16_kuan_5"/>
      <w:bookmarkEnd w:id="34"/>
      <w:r>
        <w:rPr>
          <w:rFonts w:hint="eastAsia" w:ascii="方正仿宋_GB2312" w:hAnsi="方正仿宋_GB2312" w:eastAsia="方正仿宋_GB2312" w:cs="方正仿宋_GB2312"/>
          <w:b/>
          <w:bCs/>
          <w:i w:val="0"/>
          <w:strike w:val="0"/>
          <w:color w:val="auto"/>
          <w:sz w:val="32"/>
          <w:szCs w:val="32"/>
          <w:u w:val="none"/>
          <w:lang w:val="en-US" w:eastAsia="zh-CN"/>
        </w:rPr>
        <w:t xml:space="preserve">第十三条  </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可以</w:t>
      </w:r>
      <w:r>
        <w:rPr>
          <w:rFonts w:hint="eastAsia" w:ascii="方正仿宋_GB2312" w:hAnsi="方正仿宋_GB2312" w:eastAsia="方正仿宋_GB2312" w:cs="方正仿宋_GB2312"/>
          <w:b w:val="0"/>
          <w:bCs w:val="0"/>
          <w:i w:val="0"/>
          <w:strike w:val="0"/>
          <w:color w:val="auto"/>
          <w:sz w:val="32"/>
          <w:szCs w:val="32"/>
          <w:u w:val="none"/>
          <w:lang w:val="en-US" w:eastAsia="zh-CN"/>
        </w:rPr>
        <w:t>建立共享电单车服务质量考核制度，定期组织对运营企业守法经营、安全管理、运营维护、技术规范、公众满意度等情况进行考核。</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bookmarkStart w:id="35" w:name="tiao_21_kuan_2"/>
      <w:bookmarkEnd w:id="35"/>
      <w:r>
        <w:rPr>
          <w:rFonts w:hint="eastAsia" w:ascii="方正仿宋_GB2312" w:hAnsi="方正仿宋_GB2312" w:eastAsia="方正仿宋_GB2312" w:cs="方正仿宋_GB2312"/>
          <w:b w:val="0"/>
          <w:bCs w:val="0"/>
          <w:i w:val="0"/>
          <w:strike w:val="0"/>
          <w:color w:val="auto"/>
          <w:sz w:val="32"/>
          <w:szCs w:val="32"/>
          <w:u w:val="none"/>
          <w:lang w:val="en-US" w:eastAsia="zh-CN"/>
        </w:rPr>
        <w:t>服务质量考核可以委托第三方实施，考核结果作为投放车辆动态调整的重要依据，并向社会公布。</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方正仿宋_GB2312" w:hAnsi="方正仿宋_GB2312" w:eastAsia="方正仿宋_GB2312" w:cs="方正仿宋_GB2312"/>
          <w:b w:val="0"/>
          <w:i w:val="0"/>
          <w:strike w:val="0"/>
          <w:color w:val="auto"/>
          <w:sz w:val="32"/>
          <w:szCs w:val="32"/>
          <w:u w:val="none"/>
        </w:rPr>
      </w:pPr>
      <w:r>
        <w:rPr>
          <w:rFonts w:hint="eastAsia" w:ascii="方正仿宋_GB2312" w:hAnsi="方正仿宋_GB2312" w:eastAsia="方正仿宋_GB2312" w:cs="方正仿宋_GB2312"/>
          <w:b/>
          <w:bCs/>
          <w:i w:val="0"/>
          <w:strike w:val="0"/>
          <w:color w:val="auto"/>
          <w:sz w:val="32"/>
          <w:szCs w:val="32"/>
          <w:u w:val="none"/>
          <w:lang w:val="en-US" w:eastAsia="zh-CN"/>
        </w:rPr>
        <w:t xml:space="preserve">第十四条  </w:t>
      </w:r>
      <w:bookmarkStart w:id="36" w:name="tiao_23_kuan_2"/>
      <w:bookmarkEnd w:id="36"/>
      <w:r>
        <w:rPr>
          <w:rFonts w:hint="eastAsia" w:ascii="方正仿宋_GB2312" w:hAnsi="方正仿宋_GB2312" w:eastAsia="方正仿宋_GB2312" w:cs="方正仿宋_GB2312"/>
          <w:b w:val="0"/>
          <w:i w:val="0"/>
          <w:strike w:val="0"/>
          <w:color w:val="auto"/>
          <w:sz w:val="32"/>
          <w:szCs w:val="32"/>
          <w:u w:val="none"/>
          <w:lang w:val="en-US" w:eastAsia="zh-CN"/>
        </w:rPr>
        <w:t>对乱停乱放问题严重、经提醒仍不采取有效措施的运营企业，</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可以公开通报相关问题。</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方正仿宋_GB2312" w:hAnsi="方正仿宋_GB2312" w:eastAsia="方正仿宋_GB2312" w:cs="方正仿宋_GB2312"/>
          <w:b w:val="0"/>
          <w:i w:val="0"/>
          <w:strike w:val="0"/>
          <w:color w:val="auto"/>
          <w:sz w:val="32"/>
          <w:szCs w:val="32"/>
          <w:u w:val="none"/>
          <w:lang w:val="en-US" w:eastAsia="zh-CN"/>
        </w:rPr>
      </w:pPr>
      <w:r>
        <w:rPr>
          <w:rStyle w:val="9"/>
          <w:rFonts w:hint="eastAsia" w:ascii="方正仿宋_GB2312" w:hAnsi="方正仿宋_GB2312" w:eastAsia="方正仿宋_GB2312" w:cs="方正仿宋_GB2312"/>
          <w:sz w:val="32"/>
          <w:szCs w:val="32"/>
        </w:rPr>
        <w:t>第</w:t>
      </w:r>
      <w:r>
        <w:rPr>
          <w:rStyle w:val="9"/>
          <w:rFonts w:hint="eastAsia" w:ascii="方正仿宋_GB2312" w:hAnsi="方正仿宋_GB2312" w:eastAsia="方正仿宋_GB2312" w:cs="方正仿宋_GB2312"/>
          <w:sz w:val="32"/>
          <w:szCs w:val="32"/>
          <w:lang w:val="en-US"/>
        </w:rPr>
        <w:t>十五</w:t>
      </w:r>
      <w:r>
        <w:rPr>
          <w:rStyle w:val="9"/>
          <w:rFonts w:hint="eastAsia" w:ascii="方正仿宋_GB2312" w:hAnsi="方正仿宋_GB2312" w:eastAsia="方正仿宋_GB2312" w:cs="方正仿宋_GB2312"/>
          <w:sz w:val="32"/>
          <w:szCs w:val="32"/>
        </w:rPr>
        <w:t>条​</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发现共享电单车无序停放、堆积停放妨碍其他车辆、行人正常通行，或者在禁停区停放影响城市市容环境的，应当通知运营企业在规定的期限内清理完毕。逾期不清理，符合《</w:t>
      </w:r>
      <w:r>
        <w:rPr>
          <w:rFonts w:hint="eastAsia" w:ascii="方正仿宋_GB2312" w:hAnsi="方正仿宋_GB2312" w:eastAsia="方正仿宋_GB2312" w:cs="方正仿宋_GB2312"/>
          <w:b w:val="0"/>
          <w:i w:val="0"/>
          <w:strike w:val="0"/>
          <w:color w:val="auto"/>
          <w:sz w:val="32"/>
          <w:szCs w:val="32"/>
          <w:u w:val="none"/>
          <w:lang w:val="en-US" w:eastAsia="zh-CN"/>
        </w:rPr>
        <w:fldChar w:fldCharType="begin"/>
      </w:r>
      <w:r>
        <w:rPr>
          <w:rFonts w:hint="eastAsia" w:ascii="方正仿宋_GB2312" w:hAnsi="方正仿宋_GB2312" w:eastAsia="方正仿宋_GB2312" w:cs="方正仿宋_GB2312"/>
          <w:b w:val="0"/>
          <w:i w:val="0"/>
          <w:strike w:val="0"/>
          <w:color w:val="auto"/>
          <w:sz w:val="32"/>
          <w:szCs w:val="32"/>
          <w:u w:val="none"/>
          <w:lang w:val="en-US" w:eastAsia="zh-CN"/>
        </w:rPr>
        <w:instrText xml:space="preserve"> HYPERLINK "https://www.pkulaw.com/chl/5958e42d6144e6d7bdfb.html?way=textSlc" \t "https://www.pkulaw.com/lar/_blank" </w:instrText>
      </w:r>
      <w:r>
        <w:rPr>
          <w:rFonts w:hint="eastAsia" w:ascii="方正仿宋_GB2312" w:hAnsi="方正仿宋_GB2312" w:eastAsia="方正仿宋_GB2312" w:cs="方正仿宋_GB2312"/>
          <w:b w:val="0"/>
          <w:i w:val="0"/>
          <w:strike w:val="0"/>
          <w:color w:val="auto"/>
          <w:sz w:val="32"/>
          <w:szCs w:val="32"/>
          <w:u w:val="none"/>
          <w:lang w:val="en-US" w:eastAsia="zh-CN"/>
        </w:rPr>
        <w:fldChar w:fldCharType="separate"/>
      </w:r>
      <w:r>
        <w:rPr>
          <w:rFonts w:hint="eastAsia" w:ascii="方正仿宋_GB2312" w:hAnsi="方正仿宋_GB2312" w:eastAsia="方正仿宋_GB2312" w:cs="方正仿宋_GB2312"/>
          <w:b w:val="0"/>
          <w:i w:val="0"/>
          <w:strike w:val="0"/>
          <w:color w:val="auto"/>
          <w:sz w:val="32"/>
          <w:szCs w:val="32"/>
          <w:u w:val="none"/>
          <w:lang w:val="en-US" w:eastAsia="zh-CN"/>
        </w:rPr>
        <w:t>中华人民共和国行政强制法</w:t>
      </w:r>
      <w:r>
        <w:rPr>
          <w:rFonts w:hint="eastAsia" w:ascii="方正仿宋_GB2312" w:hAnsi="方正仿宋_GB2312" w:eastAsia="方正仿宋_GB2312" w:cs="方正仿宋_GB2312"/>
          <w:b w:val="0"/>
          <w:i w:val="0"/>
          <w:strike w:val="0"/>
          <w:color w:val="auto"/>
          <w:sz w:val="32"/>
          <w:szCs w:val="32"/>
          <w:u w:val="none"/>
          <w:lang w:val="en-US" w:eastAsia="zh-CN"/>
        </w:rPr>
        <w:fldChar w:fldCharType="end"/>
      </w:r>
      <w:r>
        <w:rPr>
          <w:rFonts w:hint="eastAsia" w:ascii="方正仿宋_GB2312" w:hAnsi="方正仿宋_GB2312" w:eastAsia="方正仿宋_GB2312" w:cs="方正仿宋_GB2312"/>
          <w:b w:val="0"/>
          <w:i w:val="0"/>
          <w:strike w:val="0"/>
          <w:color w:val="auto"/>
          <w:sz w:val="32"/>
          <w:szCs w:val="32"/>
          <w:u w:val="none"/>
          <w:lang w:val="en-US" w:eastAsia="zh-CN"/>
        </w:rPr>
        <w:t>》规定的代履行情形的，经催告后，</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可以依法实施代履行，并立即通知运营企业在规定的期限内到指定场所取回，相关费用由运营企业承担。</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ascii="方正仿宋_GB2312" w:hAnsi="方正仿宋_GB2312" w:eastAsia="方正仿宋_GB2312" w:cs="方正仿宋_GB2312"/>
          <w:b w:val="0"/>
          <w:i w:val="0"/>
          <w:strike w:val="0"/>
          <w:color w:val="auto"/>
          <w:sz w:val="32"/>
          <w:szCs w:val="32"/>
          <w:u w:val="none"/>
          <w:lang w:val="en-US" w:eastAsia="zh-CN"/>
        </w:rPr>
      </w:pPr>
      <w:r>
        <w:rPr>
          <w:rFonts w:hint="eastAsia" w:ascii="方正仿宋_GB2312" w:hAnsi="方正仿宋_GB2312" w:eastAsia="方正仿宋_GB2312" w:cs="方正仿宋_GB2312"/>
          <w:b/>
          <w:bCs/>
          <w:i w:val="0"/>
          <w:strike w:val="0"/>
          <w:color w:val="auto"/>
          <w:sz w:val="32"/>
          <w:szCs w:val="32"/>
          <w:u w:val="none"/>
          <w:lang w:val="en-US" w:eastAsia="zh-CN"/>
        </w:rPr>
        <w:t>第十六条</w:t>
      </w:r>
      <w:r>
        <w:rPr>
          <w:rFonts w:hint="eastAsia" w:ascii="方正仿宋_GB2312" w:hAnsi="方正仿宋_GB2312" w:eastAsia="方正仿宋_GB2312" w:cs="方正仿宋_GB2312"/>
          <w:b w:val="0"/>
          <w:i w:val="0"/>
          <w:strike w:val="0"/>
          <w:color w:val="auto"/>
          <w:sz w:val="32"/>
          <w:szCs w:val="32"/>
          <w:u w:val="none"/>
          <w:lang w:val="en-US" w:eastAsia="zh-CN"/>
        </w:rPr>
        <w:t xml:space="preserve">  运营企业终止在本市运营的，应当制定合理的退出方案，提前四十五个工作日向当地</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提交情况说明及详细的退出方案并向社会公告。</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仿宋_GB2312" w:hAnsi="方正仿宋_GB2312" w:eastAsia="方正仿宋_GB2312" w:cs="方正仿宋_GB2312"/>
          <w:b w:val="0"/>
          <w:i w:val="0"/>
          <w:strike w:val="0"/>
          <w:color w:val="auto"/>
          <w:sz w:val="32"/>
          <w:szCs w:val="32"/>
          <w:u w:val="none"/>
          <w:lang w:val="en-US" w:eastAsia="zh-CN"/>
        </w:rPr>
      </w:pPr>
      <w:r>
        <w:rPr>
          <w:rFonts w:hint="eastAsia" w:ascii="方正仿宋_GB2312" w:hAnsi="方正仿宋_GB2312" w:eastAsia="方正仿宋_GB2312" w:cs="方正仿宋_GB2312"/>
          <w:b w:val="0"/>
          <w:i w:val="0"/>
          <w:strike w:val="0"/>
          <w:color w:val="auto"/>
          <w:sz w:val="32"/>
          <w:szCs w:val="32"/>
          <w:u w:val="none"/>
          <w:lang w:val="en-US" w:eastAsia="zh-CN"/>
        </w:rPr>
        <w:t>运营企业应按照租赁服务协议约定及时、足额退还押金、预付资金余额等用户资金，并在终止运营服务之日起十五日内完成全部车辆回收，回收车辆应妥善处理，避免造成环境污染或资源浪费，逾期未完成车辆回收的由当地</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i w:val="0"/>
          <w:strike w:val="0"/>
          <w:color w:val="auto"/>
          <w:sz w:val="32"/>
          <w:szCs w:val="32"/>
          <w:u w:val="none"/>
          <w:lang w:val="en-US" w:eastAsia="zh-CN"/>
        </w:rPr>
        <w:t>依法清理，所产生的相关费用由运营企业承担。</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default" w:ascii="方正仿宋_GB2312" w:hAnsi="方正仿宋_GB2312" w:eastAsia="方正仿宋_GB2312" w:cs="方正仿宋_GB2312"/>
          <w:b w:val="0"/>
          <w:bCs w:val="0"/>
          <w:i w:val="0"/>
          <w:strike w:val="0"/>
          <w:color w:val="auto"/>
          <w:sz w:val="32"/>
          <w:szCs w:val="32"/>
          <w:u w:val="none"/>
          <w:lang w:val="en-US" w:eastAsia="zh-CN"/>
        </w:rPr>
      </w:pPr>
      <w:r>
        <w:rPr>
          <w:rFonts w:hint="eastAsia" w:ascii="方正仿宋_GB2312" w:hAnsi="方正仿宋_GB2312" w:eastAsia="方正仿宋_GB2312" w:cs="方正仿宋_GB2312"/>
          <w:b/>
          <w:bCs/>
          <w:i w:val="0"/>
          <w:strike w:val="0"/>
          <w:color w:val="auto"/>
          <w:sz w:val="32"/>
          <w:szCs w:val="32"/>
          <w:u w:val="none"/>
          <w:lang w:val="en-US" w:eastAsia="zh-CN"/>
        </w:rPr>
        <w:t xml:space="preserve">第十七条 </w:t>
      </w:r>
      <w:r>
        <w:rPr>
          <w:rFonts w:hint="eastAsia" w:ascii="方正仿宋_GB2312" w:hAnsi="方正仿宋_GB2312" w:eastAsia="方正仿宋_GB2312" w:cs="方正仿宋_GB2312"/>
          <w:b w:val="0"/>
          <w:bCs w:val="0"/>
          <w:i w:val="0"/>
          <w:strike w:val="0"/>
          <w:color w:val="auto"/>
          <w:sz w:val="32"/>
          <w:szCs w:val="32"/>
          <w:u w:val="none"/>
          <w:lang w:val="en-US" w:eastAsia="zh-CN"/>
        </w:rPr>
        <w:t xml:space="preserve"> 违反本办法规定，运营企业未及时整理违规停放车辆或者未及时回收故障、破损车辆的，由</w:t>
      </w:r>
      <w:r>
        <w:rPr>
          <w:rFonts w:hint="eastAsia" w:ascii="方正仿宋_GB2312" w:hAnsi="方正仿宋_GB2312" w:eastAsia="方正仿宋_GB2312" w:cs="方正仿宋_GB2312"/>
          <w:b w:val="0"/>
          <w:i w:val="0"/>
          <w:strike w:val="0"/>
          <w:color w:val="auto"/>
          <w:sz w:val="32"/>
          <w:szCs w:val="32"/>
          <w:u w:val="none"/>
        </w:rPr>
        <w:t>城市管理部门</w:t>
      </w:r>
      <w:r>
        <w:rPr>
          <w:rFonts w:hint="eastAsia" w:ascii="方正仿宋_GB2312" w:hAnsi="方正仿宋_GB2312" w:eastAsia="方正仿宋_GB2312" w:cs="方正仿宋_GB2312"/>
          <w:b w:val="0"/>
          <w:bCs w:val="0"/>
          <w:i w:val="0"/>
          <w:strike w:val="0"/>
          <w:color w:val="auto"/>
          <w:sz w:val="32"/>
          <w:szCs w:val="32"/>
          <w:u w:val="none"/>
          <w:lang w:val="en-US" w:eastAsia="zh-CN"/>
        </w:rPr>
        <w:t>责令改正，逾期未改正的，处一千元以上一万元以下罚款。</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rPr>
          <w:rFonts w:hint="eastAsia" w:ascii="方正仿宋_GB2312" w:hAnsi="方正仿宋_GB2312" w:eastAsia="方正仿宋_GB2312" w:cs="方正仿宋_GB2312"/>
          <w:b/>
          <w:bCs/>
          <w:i w:val="0"/>
          <w:strike w:val="0"/>
          <w:color w:val="auto"/>
          <w:sz w:val="32"/>
          <w:szCs w:val="32"/>
          <w:u w:val="none"/>
          <w:lang w:val="en-US" w:eastAsia="zh-CN"/>
        </w:rPr>
      </w:pPr>
      <w:r>
        <w:rPr>
          <w:rStyle w:val="9"/>
          <w:rFonts w:hint="eastAsia" w:ascii="方正仿宋_GB2312" w:hAnsi="方正仿宋_GB2312" w:eastAsia="方正仿宋_GB2312" w:cs="方正仿宋_GB2312"/>
          <w:b w:val="0"/>
          <w:bCs w:val="0"/>
          <w:sz w:val="32"/>
          <w:szCs w:val="32"/>
          <w:lang w:val="en-US" w:eastAsia="zh-CN"/>
        </w:rPr>
        <w:t xml:space="preserve">    </w:t>
      </w:r>
      <w:r>
        <w:rPr>
          <w:rFonts w:hint="eastAsia" w:ascii="方正仿宋_GB2312" w:hAnsi="方正仿宋_GB2312" w:eastAsia="方正仿宋_GB2312" w:cs="方正仿宋_GB2312"/>
          <w:b/>
          <w:bCs/>
          <w:i w:val="0"/>
          <w:strike w:val="0"/>
          <w:color w:val="auto"/>
          <w:sz w:val="32"/>
          <w:szCs w:val="32"/>
          <w:u w:val="none"/>
          <w:lang w:val="en-US" w:eastAsia="zh-CN"/>
        </w:rPr>
        <w:t xml:space="preserve">第十八条  </w:t>
      </w:r>
      <w:r>
        <w:rPr>
          <w:rFonts w:hint="eastAsia" w:ascii="方正仿宋_GB2312" w:hAnsi="方正仿宋_GB2312" w:eastAsia="方正仿宋_GB2312" w:cs="方正仿宋_GB2312"/>
          <w:b w:val="0"/>
          <w:bCs w:val="0"/>
          <w:i w:val="0"/>
          <w:strike w:val="0"/>
          <w:color w:val="auto"/>
          <w:sz w:val="32"/>
          <w:szCs w:val="32"/>
          <w:u w:val="none"/>
          <w:lang w:val="en-US" w:eastAsia="zh-CN"/>
        </w:rPr>
        <w:t>有关单位及工作人员在共享电单车管理中滥用职权、玩忽职守、徇私舞弊的，依法给予处分；构成犯罪的，依法追究刑事责任。</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jc w:val="left"/>
        <w:textAlignment w:val="auto"/>
        <w:rPr>
          <w:rStyle w:val="9"/>
          <w:rFonts w:hint="default" w:ascii="方正仿宋_GB2312" w:hAnsi="方正仿宋_GB2312" w:eastAsia="方正仿宋_GB2312" w:cs="方正仿宋_GB2312"/>
          <w:b w:val="0"/>
          <w:bCs w:val="0"/>
          <w:sz w:val="32"/>
          <w:szCs w:val="32"/>
          <w:lang w:val="en-US"/>
        </w:rPr>
      </w:pPr>
      <w:r>
        <w:rPr>
          <w:rStyle w:val="9"/>
          <w:rFonts w:hint="eastAsia" w:ascii="方正仿宋_GB2312" w:hAnsi="方正仿宋_GB2312" w:eastAsia="方正仿宋_GB2312" w:cs="方正仿宋_GB2312"/>
          <w:b w:val="0"/>
          <w:bCs w:val="0"/>
          <w:sz w:val="32"/>
          <w:szCs w:val="32"/>
          <w:lang w:val="en-US"/>
        </w:rPr>
        <w:t xml:space="preserve">    </w:t>
      </w:r>
      <w:r>
        <w:rPr>
          <w:rFonts w:hint="eastAsia" w:ascii="方正仿宋_GB2312" w:hAnsi="方正仿宋_GB2312" w:eastAsia="方正仿宋_GB2312" w:cs="方正仿宋_GB2312"/>
          <w:b/>
          <w:bCs/>
          <w:i w:val="0"/>
          <w:strike w:val="0"/>
          <w:color w:val="auto"/>
          <w:sz w:val="32"/>
          <w:szCs w:val="32"/>
          <w:u w:val="none"/>
          <w:lang w:val="en-US" w:eastAsia="zh-CN"/>
        </w:rPr>
        <w:t xml:space="preserve">第十九条  </w:t>
      </w:r>
      <w:r>
        <w:rPr>
          <w:rFonts w:hint="eastAsia" w:ascii="方正仿宋_GB2312" w:hAnsi="方正仿宋_GB2312" w:eastAsia="方正仿宋_GB2312" w:cs="方正仿宋_GB2312"/>
          <w:b w:val="0"/>
          <w:bCs w:val="0"/>
          <w:i w:val="0"/>
          <w:strike w:val="0"/>
          <w:color w:val="auto"/>
          <w:sz w:val="32"/>
          <w:szCs w:val="32"/>
          <w:u w:val="none"/>
          <w:lang w:val="en-US" w:eastAsia="zh-CN"/>
        </w:rPr>
        <w:t>违反本办法规定的行为，法律、法规已有法律责任规定的，从其规定。</w:t>
      </w:r>
    </w:p>
    <w:p>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left"/>
        <w:textAlignment w:val="auto"/>
        <w:rPr>
          <w:rFonts w:hint="eastAsia"/>
        </w:rPr>
      </w:pPr>
      <w:bookmarkStart w:id="37" w:name="tiao_20_kuan_1_xiang_2"/>
      <w:bookmarkEnd w:id="37"/>
      <w:r>
        <w:rPr>
          <w:rFonts w:hint="eastAsia" w:ascii="方正仿宋_GB2312" w:hAnsi="方正仿宋_GB2312" w:eastAsia="方正仿宋_GB2312" w:cs="方正仿宋_GB2312"/>
          <w:b/>
          <w:bCs/>
          <w:i w:val="0"/>
          <w:strike w:val="0"/>
          <w:color w:val="auto"/>
          <w:sz w:val="32"/>
          <w:szCs w:val="32"/>
          <w:u w:val="none"/>
          <w:lang w:val="en-US" w:eastAsia="zh-CN"/>
        </w:rPr>
        <w:t>第二十条</w:t>
      </w:r>
      <w:r>
        <w:rPr>
          <w:rFonts w:hint="eastAsia" w:ascii="方正仿宋_GB2312" w:hAnsi="方正仿宋_GB2312" w:eastAsia="方正仿宋_GB2312" w:cs="方正仿宋_GB2312"/>
          <w:b w:val="0"/>
          <w:i w:val="0"/>
          <w:strike w:val="0"/>
          <w:color w:val="auto"/>
          <w:sz w:val="32"/>
          <w:szCs w:val="32"/>
          <w:u w:val="none"/>
          <w:lang w:val="en-US" w:eastAsia="zh-CN"/>
        </w:rPr>
        <w:t xml:space="preserve"> </w:t>
      </w:r>
      <w:r>
        <w:rPr>
          <w:rFonts w:hint="eastAsia" w:ascii="方正仿宋_GB2312" w:hAnsi="方正仿宋_GB2312" w:eastAsia="方正仿宋_GB2312" w:cs="方正仿宋_GB2312"/>
          <w:b w:val="0"/>
          <w:i w:val="0"/>
          <w:strike w:val="0"/>
          <w:color w:val="auto"/>
          <w:sz w:val="32"/>
          <w:szCs w:val="32"/>
          <w:u w:val="none"/>
        </w:rPr>
        <w:t>本办法自202</w:t>
      </w:r>
      <w:r>
        <w:rPr>
          <w:rFonts w:hint="eastAsia" w:ascii="方正仿宋_GB2312" w:hAnsi="方正仿宋_GB2312" w:eastAsia="方正仿宋_GB2312" w:cs="方正仿宋_GB2312"/>
          <w:b w:val="0"/>
          <w:i w:val="0"/>
          <w:strike w:val="0"/>
          <w:color w:val="auto"/>
          <w:sz w:val="32"/>
          <w:szCs w:val="32"/>
          <w:u w:val="none"/>
          <w:lang w:val="en-US" w:eastAsia="zh-CN"/>
        </w:rPr>
        <w:t>6</w:t>
      </w:r>
      <w:r>
        <w:rPr>
          <w:rFonts w:hint="eastAsia" w:ascii="方正仿宋_GB2312" w:hAnsi="方正仿宋_GB2312" w:eastAsia="方正仿宋_GB2312" w:cs="方正仿宋_GB2312"/>
          <w:b w:val="0"/>
          <w:i w:val="0"/>
          <w:strike w:val="0"/>
          <w:color w:val="auto"/>
          <w:sz w:val="32"/>
          <w:szCs w:val="32"/>
          <w:u w:val="none"/>
        </w:rPr>
        <w:t>年</w:t>
      </w:r>
      <w:r>
        <w:rPr>
          <w:rFonts w:hint="eastAsia" w:ascii="方正仿宋_GB2312" w:hAnsi="方正仿宋_GB2312" w:eastAsia="方正仿宋_GB2312" w:cs="方正仿宋_GB2312"/>
          <w:b w:val="0"/>
          <w:i w:val="0"/>
          <w:strike w:val="0"/>
          <w:color w:val="auto"/>
          <w:sz w:val="32"/>
          <w:szCs w:val="32"/>
          <w:u w:val="none"/>
          <w:lang w:val="en-US" w:eastAsia="zh-CN"/>
        </w:rPr>
        <w:t xml:space="preserve">  </w:t>
      </w:r>
      <w:r>
        <w:rPr>
          <w:rFonts w:hint="eastAsia" w:ascii="方正仿宋_GB2312" w:hAnsi="方正仿宋_GB2312" w:eastAsia="方正仿宋_GB2312" w:cs="方正仿宋_GB2312"/>
          <w:b w:val="0"/>
          <w:i w:val="0"/>
          <w:strike w:val="0"/>
          <w:color w:val="auto"/>
          <w:sz w:val="32"/>
          <w:szCs w:val="32"/>
          <w:u w:val="none"/>
        </w:rPr>
        <w:t>月</w:t>
      </w:r>
      <w:r>
        <w:rPr>
          <w:rFonts w:hint="eastAsia" w:ascii="方正仿宋_GB2312" w:hAnsi="方正仿宋_GB2312" w:eastAsia="方正仿宋_GB2312" w:cs="方正仿宋_GB2312"/>
          <w:b w:val="0"/>
          <w:i w:val="0"/>
          <w:strike w:val="0"/>
          <w:color w:val="auto"/>
          <w:sz w:val="32"/>
          <w:szCs w:val="32"/>
          <w:u w:val="none"/>
          <w:lang w:val="en-US" w:eastAsia="zh-CN"/>
        </w:rPr>
        <w:t xml:space="preserve">  </w:t>
      </w:r>
      <w:r>
        <w:rPr>
          <w:rFonts w:hint="eastAsia" w:ascii="方正仿宋_GB2312" w:hAnsi="方正仿宋_GB2312" w:eastAsia="方正仿宋_GB2312" w:cs="方正仿宋_GB2312"/>
          <w:b w:val="0"/>
          <w:i w:val="0"/>
          <w:strike w:val="0"/>
          <w:color w:val="auto"/>
          <w:sz w:val="32"/>
          <w:szCs w:val="32"/>
          <w:u w:val="none"/>
        </w:rPr>
        <w:t>日起施行。​</w:t>
      </w:r>
      <w:r>
        <w:rPr>
          <w:rFonts w:hint="eastAsia" w:ascii="方正仿宋_GB2312" w:hAnsi="方正仿宋_GB2312" w:eastAsia="方正仿宋_GB2312" w:cs="方正仿宋_GB2312"/>
          <w:b w:val="0"/>
          <w:i w:val="0"/>
          <w:strike w:val="0"/>
          <w:color w:val="auto"/>
          <w:sz w:val="32"/>
          <w:szCs w:val="32"/>
          <w:u w:val="non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713DC"/>
    <w:rsid w:val="01DF66FD"/>
    <w:rsid w:val="0209118A"/>
    <w:rsid w:val="0256710B"/>
    <w:rsid w:val="02E91D70"/>
    <w:rsid w:val="03306067"/>
    <w:rsid w:val="04242B71"/>
    <w:rsid w:val="04684988"/>
    <w:rsid w:val="04D72BD5"/>
    <w:rsid w:val="06D3383B"/>
    <w:rsid w:val="08C659AE"/>
    <w:rsid w:val="0AD043CE"/>
    <w:rsid w:val="0B076B63"/>
    <w:rsid w:val="0B3F1647"/>
    <w:rsid w:val="0BBB6595"/>
    <w:rsid w:val="0BEA149C"/>
    <w:rsid w:val="0C3C60BC"/>
    <w:rsid w:val="0C93094A"/>
    <w:rsid w:val="0D815DD4"/>
    <w:rsid w:val="0D84174F"/>
    <w:rsid w:val="0D870F11"/>
    <w:rsid w:val="0E523019"/>
    <w:rsid w:val="0EEC0A63"/>
    <w:rsid w:val="0F360E40"/>
    <w:rsid w:val="0F3C4FFD"/>
    <w:rsid w:val="112942F2"/>
    <w:rsid w:val="128D5696"/>
    <w:rsid w:val="1293001F"/>
    <w:rsid w:val="13314D3A"/>
    <w:rsid w:val="13A97E33"/>
    <w:rsid w:val="13BA3984"/>
    <w:rsid w:val="160F6914"/>
    <w:rsid w:val="16613333"/>
    <w:rsid w:val="16E64327"/>
    <w:rsid w:val="17EC1BA3"/>
    <w:rsid w:val="192D122F"/>
    <w:rsid w:val="1ABB7071"/>
    <w:rsid w:val="1B082A8D"/>
    <w:rsid w:val="1BC423E1"/>
    <w:rsid w:val="1C007111"/>
    <w:rsid w:val="1E74103D"/>
    <w:rsid w:val="1E7D45CD"/>
    <w:rsid w:val="1F114BAE"/>
    <w:rsid w:val="1F5C0C50"/>
    <w:rsid w:val="205D7A1F"/>
    <w:rsid w:val="20E17F71"/>
    <w:rsid w:val="214E496C"/>
    <w:rsid w:val="21F4496F"/>
    <w:rsid w:val="2378512C"/>
    <w:rsid w:val="24816262"/>
    <w:rsid w:val="273F4F5F"/>
    <w:rsid w:val="27FC71D4"/>
    <w:rsid w:val="29164D24"/>
    <w:rsid w:val="2C3572B1"/>
    <w:rsid w:val="2D302395"/>
    <w:rsid w:val="2E723D34"/>
    <w:rsid w:val="2E7A5203"/>
    <w:rsid w:val="2ED8717E"/>
    <w:rsid w:val="2FECA4FB"/>
    <w:rsid w:val="30DF631F"/>
    <w:rsid w:val="31103A40"/>
    <w:rsid w:val="318005AF"/>
    <w:rsid w:val="326F6069"/>
    <w:rsid w:val="34AF02AF"/>
    <w:rsid w:val="34EC7BC8"/>
    <w:rsid w:val="364832B5"/>
    <w:rsid w:val="36617A7C"/>
    <w:rsid w:val="36685768"/>
    <w:rsid w:val="36D962DA"/>
    <w:rsid w:val="3702512D"/>
    <w:rsid w:val="37400A56"/>
    <w:rsid w:val="382179C7"/>
    <w:rsid w:val="39C27128"/>
    <w:rsid w:val="39EE5CF0"/>
    <w:rsid w:val="3B191EE5"/>
    <w:rsid w:val="3BD333B1"/>
    <w:rsid w:val="3C184DDB"/>
    <w:rsid w:val="3C823F96"/>
    <w:rsid w:val="3C862210"/>
    <w:rsid w:val="3D0D5664"/>
    <w:rsid w:val="3EBC333B"/>
    <w:rsid w:val="3F5A27C7"/>
    <w:rsid w:val="3F9B059C"/>
    <w:rsid w:val="3FDC4E4B"/>
    <w:rsid w:val="409370DC"/>
    <w:rsid w:val="414C6B92"/>
    <w:rsid w:val="415A4EFD"/>
    <w:rsid w:val="416243D6"/>
    <w:rsid w:val="44F64E98"/>
    <w:rsid w:val="46003033"/>
    <w:rsid w:val="462913A2"/>
    <w:rsid w:val="4634491E"/>
    <w:rsid w:val="470D72FC"/>
    <w:rsid w:val="47D858BC"/>
    <w:rsid w:val="4946234A"/>
    <w:rsid w:val="4A065CCD"/>
    <w:rsid w:val="4A0E7992"/>
    <w:rsid w:val="4A3640A9"/>
    <w:rsid w:val="4C261B54"/>
    <w:rsid w:val="4E1F651F"/>
    <w:rsid w:val="51075F25"/>
    <w:rsid w:val="519E14F8"/>
    <w:rsid w:val="520E2829"/>
    <w:rsid w:val="55E1159F"/>
    <w:rsid w:val="55FF6F26"/>
    <w:rsid w:val="56674EBC"/>
    <w:rsid w:val="566F4E48"/>
    <w:rsid w:val="5684353A"/>
    <w:rsid w:val="56FC555B"/>
    <w:rsid w:val="585A2A77"/>
    <w:rsid w:val="587423E9"/>
    <w:rsid w:val="58D354A2"/>
    <w:rsid w:val="5A1A3658"/>
    <w:rsid w:val="5A855897"/>
    <w:rsid w:val="5ACC4545"/>
    <w:rsid w:val="5B7A4206"/>
    <w:rsid w:val="5D3B6B7F"/>
    <w:rsid w:val="5E887CBF"/>
    <w:rsid w:val="5F3F3148"/>
    <w:rsid w:val="606515C6"/>
    <w:rsid w:val="61053E2D"/>
    <w:rsid w:val="61A9212F"/>
    <w:rsid w:val="6240508C"/>
    <w:rsid w:val="62CB31A0"/>
    <w:rsid w:val="631A7E5F"/>
    <w:rsid w:val="638957C1"/>
    <w:rsid w:val="63F056AD"/>
    <w:rsid w:val="65732D6A"/>
    <w:rsid w:val="66DF51EF"/>
    <w:rsid w:val="674B6EBA"/>
    <w:rsid w:val="68771029"/>
    <w:rsid w:val="68DD7F19"/>
    <w:rsid w:val="69017E0E"/>
    <w:rsid w:val="69386799"/>
    <w:rsid w:val="69F10883"/>
    <w:rsid w:val="6B4E6031"/>
    <w:rsid w:val="6D034D91"/>
    <w:rsid w:val="6E4A456A"/>
    <w:rsid w:val="6E500B71"/>
    <w:rsid w:val="6EC02CDB"/>
    <w:rsid w:val="6FF670D1"/>
    <w:rsid w:val="70296ECD"/>
    <w:rsid w:val="70733469"/>
    <w:rsid w:val="71283449"/>
    <w:rsid w:val="71885014"/>
    <w:rsid w:val="71CB19BF"/>
    <w:rsid w:val="72160766"/>
    <w:rsid w:val="72973911"/>
    <w:rsid w:val="72D762E3"/>
    <w:rsid w:val="74496423"/>
    <w:rsid w:val="76BF5A2B"/>
    <w:rsid w:val="76FD50A9"/>
    <w:rsid w:val="77446974"/>
    <w:rsid w:val="7774953F"/>
    <w:rsid w:val="778C1985"/>
    <w:rsid w:val="78F75C13"/>
    <w:rsid w:val="79CD14F2"/>
    <w:rsid w:val="7A265CD4"/>
    <w:rsid w:val="7ADF6716"/>
    <w:rsid w:val="7B900029"/>
    <w:rsid w:val="7BDB44FC"/>
    <w:rsid w:val="7C382701"/>
    <w:rsid w:val="7DFA3119"/>
    <w:rsid w:val="7E5F1D53"/>
    <w:rsid w:val="FCFDF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link w:val="9"/>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character" w:styleId="8">
    <w:name w:val="Hyperlink"/>
    <w:basedOn w:val="7"/>
    <w:qFormat/>
    <w:uiPriority w:val="0"/>
    <w:rPr>
      <w:color w:val="0000FF"/>
      <w:u w:val="single"/>
    </w:rPr>
  </w:style>
  <w:style w:type="character" w:customStyle="1" w:styleId="9">
    <w:name w:val="标题 3 Char"/>
    <w:link w:val="3"/>
    <w:qFormat/>
    <w:uiPriority w:val="0"/>
    <w:rPr>
      <w:rFonts w:hint="eastAsia" w:ascii="宋体" w:hAnsi="宋体" w:eastAsia="宋体" w:cs="宋体"/>
      <w:b/>
      <w:bCs/>
      <w:kern w:val="0"/>
      <w:sz w:val="27"/>
      <w:szCs w:val="27"/>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567</Words>
  <Characters>567</Characters>
  <Lines>0</Lines>
  <Paragraphs>0</Paragraphs>
  <TotalTime>27</TotalTime>
  <ScaleCrop>false</ScaleCrop>
  <LinksUpToDate>false</LinksUpToDate>
  <CharactersWithSpaces>589</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2026-04-25T01:26:00Z</dcterms:created>
  <dc:creator>Administrator</dc:creator>
  <cp:lastModifiedBy>Administrator</cp:lastModifiedBy>
  <cp:lastPrinted>2026-04-28T00:06:00Z</cp:lastPrinted>
  <dcterms:modified xsi:type="dcterms:W3CDTF">2026-10-15T10:41:47Z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KSOTemplateDocerSaveRecord">
    <vt:lpwstr>eyJoZGlkIjoiMzEwNTM5NzYwMDRjMzkwZTVkZjY2ODkwMGIxNGU0OTUiLCJ1c2VySWQiOiI2OTU2MDg5ODIifQ==</vt:lpwstr>
  </property>
  <property fmtid="{D5CDD505-2E9C-101B-9397-08002B2CF9AE}" pid="4" name="ICV">
    <vt:lpwstr>BC5D358FAFCD448DA89C3AE12CD6686E_12</vt:lpwstr>
  </property>
</Properties>
</file>